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CF08" w14:textId="77777777" w:rsidR="00E00A57" w:rsidRPr="00FB02D9" w:rsidRDefault="00E00A57" w:rsidP="00FB02D9">
      <w:pPr>
        <w:tabs>
          <w:tab w:val="left" w:pos="7797"/>
        </w:tabs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t>CUMULATIVE INDEX</w:t>
      </w:r>
    </w:p>
    <w:p w14:paraId="5AF5CF09" w14:textId="77777777"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</w:p>
    <w:p w14:paraId="5AF5CF0B" w14:textId="12BB4218" w:rsidR="00E00A57" w:rsidRPr="00FB02D9" w:rsidRDefault="00E00A57" w:rsidP="001D7452">
      <w:pPr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t>CASES REPORTED</w:t>
      </w:r>
      <w:bookmarkStart w:id="0" w:name="_GoBack"/>
      <w:bookmarkEnd w:id="0"/>
    </w:p>
    <w:p w14:paraId="5AF5CF0C" w14:textId="77777777" w:rsidR="00E00A57" w:rsidRPr="00FB02D9" w:rsidRDefault="00E00A57" w:rsidP="00FB02D9">
      <w:pPr>
        <w:spacing w:line="276" w:lineRule="auto"/>
        <w:rPr>
          <w:szCs w:val="24"/>
        </w:rPr>
      </w:pP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</w:r>
      <w:r w:rsidRPr="00FB02D9">
        <w:rPr>
          <w:b/>
          <w:szCs w:val="24"/>
        </w:rPr>
        <w:tab/>
        <w:t xml:space="preserve">       </w:t>
      </w:r>
      <w:r w:rsidRPr="00FB02D9">
        <w:rPr>
          <w:szCs w:val="24"/>
        </w:rPr>
        <w:t xml:space="preserve">Part     </w:t>
      </w:r>
      <w:r w:rsidR="008E0A34" w:rsidRPr="00FB02D9">
        <w:rPr>
          <w:szCs w:val="24"/>
        </w:rPr>
        <w:t xml:space="preserve">    </w:t>
      </w:r>
      <w:r w:rsidRPr="00FB02D9">
        <w:rPr>
          <w:szCs w:val="24"/>
        </w:rPr>
        <w:t>Page</w:t>
      </w:r>
    </w:p>
    <w:p w14:paraId="5AF5CF0D" w14:textId="77777777" w:rsidR="00495CC3" w:rsidRDefault="00495CC3" w:rsidP="00FB02D9">
      <w:pPr>
        <w:spacing w:line="276" w:lineRule="auto"/>
        <w:rPr>
          <w:i/>
          <w:szCs w:val="24"/>
          <w:lang w:val="en-US"/>
        </w:rPr>
      </w:pPr>
    </w:p>
    <w:p w14:paraId="5AF5CF0E" w14:textId="77777777" w:rsidR="00483F65" w:rsidRPr="00483F65" w:rsidRDefault="00483F65" w:rsidP="00FB02D9">
      <w:pPr>
        <w:spacing w:line="276" w:lineRule="auto"/>
        <w:rPr>
          <w:szCs w:val="24"/>
        </w:rPr>
      </w:pPr>
      <w:r>
        <w:rPr>
          <w:i/>
          <w:szCs w:val="24"/>
        </w:rPr>
        <w:t>Abbott &amp; ors v RCI Europe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53</w:t>
      </w:r>
    </w:p>
    <w:p w14:paraId="5AF5CF0F" w14:textId="77777777" w:rsidR="00483F65" w:rsidRDefault="00483F65" w:rsidP="00FB02D9">
      <w:pPr>
        <w:spacing w:line="276" w:lineRule="auto"/>
        <w:rPr>
          <w:i/>
          <w:szCs w:val="24"/>
        </w:rPr>
      </w:pPr>
    </w:p>
    <w:p w14:paraId="5AF5CF10" w14:textId="77777777" w:rsidR="00507874" w:rsidRPr="00507874" w:rsidRDefault="00507874" w:rsidP="00FB02D9">
      <w:pPr>
        <w:spacing w:line="276" w:lineRule="auto"/>
        <w:rPr>
          <w:iCs/>
        </w:rPr>
      </w:pPr>
      <w:r>
        <w:rPr>
          <w:i/>
          <w:iCs/>
        </w:rPr>
        <w:t>BAWAG PSK Bank v VKI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3</w:t>
      </w:r>
      <w:r>
        <w:rPr>
          <w:iCs/>
        </w:rPr>
        <w:tab/>
        <w:t>129</w:t>
      </w:r>
    </w:p>
    <w:p w14:paraId="5AF5CF11" w14:textId="77777777" w:rsidR="00507874" w:rsidRDefault="00507874" w:rsidP="00FB02D9">
      <w:pPr>
        <w:spacing w:line="276" w:lineRule="auto"/>
        <w:rPr>
          <w:i/>
          <w:iCs/>
        </w:rPr>
      </w:pPr>
    </w:p>
    <w:p w14:paraId="5AF5CF12" w14:textId="77777777" w:rsidR="00507874" w:rsidRPr="00507874" w:rsidRDefault="00507874" w:rsidP="00FB02D9">
      <w:pPr>
        <w:spacing w:line="276" w:lineRule="auto"/>
        <w:rPr>
          <w:szCs w:val="24"/>
        </w:rPr>
      </w:pPr>
      <w:r>
        <w:rPr>
          <w:i/>
          <w:iCs/>
        </w:rPr>
        <w:t>CGL Group Ltd v Royal Bank of Scotland Plc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3</w:t>
      </w:r>
      <w:r>
        <w:rPr>
          <w:iCs/>
        </w:rPr>
        <w:tab/>
        <w:t>97</w:t>
      </w:r>
    </w:p>
    <w:p w14:paraId="5AF5CF13" w14:textId="77777777" w:rsidR="00507874" w:rsidRDefault="00507874" w:rsidP="00FB02D9">
      <w:pPr>
        <w:spacing w:line="276" w:lineRule="auto"/>
        <w:rPr>
          <w:i/>
          <w:szCs w:val="24"/>
        </w:rPr>
      </w:pPr>
    </w:p>
    <w:p w14:paraId="5AF5CF14" w14:textId="77777777" w:rsidR="00626B34" w:rsidRPr="00626B34" w:rsidRDefault="00626B34" w:rsidP="00FB02D9">
      <w:pPr>
        <w:spacing w:line="276" w:lineRule="auto"/>
        <w:rPr>
          <w:szCs w:val="24"/>
          <w:lang w:val="en-US"/>
        </w:rPr>
      </w:pPr>
      <w:r w:rsidRPr="00F471BE">
        <w:rPr>
          <w:i/>
          <w:szCs w:val="24"/>
        </w:rPr>
        <w:t>Commercial First Business Limited v Pickup and Vernon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1</w:t>
      </w:r>
      <w:r>
        <w:rPr>
          <w:szCs w:val="24"/>
        </w:rPr>
        <w:tab/>
        <w:t>1</w:t>
      </w:r>
    </w:p>
    <w:p w14:paraId="5AF5CF15" w14:textId="77777777" w:rsidR="00626B34" w:rsidRDefault="00626B34" w:rsidP="00FB02D9">
      <w:pPr>
        <w:spacing w:line="276" w:lineRule="auto"/>
        <w:rPr>
          <w:i/>
          <w:szCs w:val="24"/>
          <w:lang w:val="en-US"/>
        </w:rPr>
      </w:pPr>
    </w:p>
    <w:p w14:paraId="5AF5CF16" w14:textId="77777777" w:rsidR="00626B34" w:rsidRDefault="00626B34" w:rsidP="00FB02D9">
      <w:pPr>
        <w:spacing w:line="276" w:lineRule="auto"/>
        <w:rPr>
          <w:szCs w:val="24"/>
        </w:rPr>
      </w:pPr>
      <w:r w:rsidRPr="00F471BE">
        <w:rPr>
          <w:i/>
          <w:szCs w:val="24"/>
        </w:rPr>
        <w:t xml:space="preserve">Home Credit Slovakia A.S. v </w:t>
      </w:r>
      <w:proofErr w:type="spellStart"/>
      <w:r w:rsidRPr="00F471BE">
        <w:rPr>
          <w:i/>
          <w:szCs w:val="24"/>
        </w:rPr>
        <w:t>Biroova</w:t>
      </w:r>
      <w:proofErr w:type="spellEnd"/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1</w:t>
      </w:r>
      <w:r>
        <w:rPr>
          <w:szCs w:val="24"/>
        </w:rPr>
        <w:tab/>
        <w:t>31</w:t>
      </w:r>
    </w:p>
    <w:p w14:paraId="5AF5CF17" w14:textId="77777777" w:rsidR="00483F65" w:rsidRDefault="00483F65" w:rsidP="00FB02D9">
      <w:pPr>
        <w:spacing w:line="276" w:lineRule="auto"/>
        <w:rPr>
          <w:szCs w:val="24"/>
        </w:rPr>
      </w:pPr>
    </w:p>
    <w:p w14:paraId="69A73A20" w14:textId="079BE82A" w:rsidR="002F06DE" w:rsidRDefault="002F06DE" w:rsidP="00FB02D9">
      <w:pPr>
        <w:spacing w:line="276" w:lineRule="auto"/>
        <w:rPr>
          <w:iCs/>
        </w:rPr>
      </w:pPr>
      <w:proofErr w:type="spellStart"/>
      <w:r>
        <w:rPr>
          <w:i/>
          <w:iCs/>
        </w:rPr>
        <w:t>Kupeli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Atlasjet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Havacilik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Anonim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Sirketi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CF261A">
        <w:rPr>
          <w:i/>
          <w:iCs/>
        </w:rPr>
        <w:tab/>
      </w:r>
      <w:r w:rsidR="00CF261A">
        <w:rPr>
          <w:i/>
          <w:iCs/>
        </w:rPr>
        <w:tab/>
      </w:r>
      <w:r>
        <w:rPr>
          <w:iCs/>
        </w:rPr>
        <w:t>4</w:t>
      </w:r>
      <w:r>
        <w:rPr>
          <w:iCs/>
        </w:rPr>
        <w:tab/>
        <w:t>145</w:t>
      </w:r>
    </w:p>
    <w:p w14:paraId="5E766DBB" w14:textId="005C7628" w:rsidR="002F06DE" w:rsidRDefault="002F06DE" w:rsidP="00FB02D9">
      <w:pPr>
        <w:spacing w:line="276" w:lineRule="auto"/>
        <w:rPr>
          <w:szCs w:val="24"/>
        </w:rPr>
      </w:pPr>
    </w:p>
    <w:p w14:paraId="5C2BE469" w14:textId="0670277B" w:rsidR="00CF6F11" w:rsidRPr="00CF6F11" w:rsidRDefault="00CF6F11" w:rsidP="00FB02D9">
      <w:pPr>
        <w:spacing w:line="276" w:lineRule="auto"/>
        <w:rPr>
          <w:iCs/>
        </w:rPr>
      </w:pPr>
      <w:r>
        <w:rPr>
          <w:rFonts w:cstheme="minorHAnsi"/>
          <w:i/>
          <w:color w:val="000000"/>
        </w:rPr>
        <w:t>London Borough of Camden v Foxtons Limited</w:t>
      </w:r>
      <w:r>
        <w:rPr>
          <w:rFonts w:cstheme="minorHAnsi"/>
          <w:i/>
          <w:color w:val="000000"/>
        </w:rPr>
        <w:tab/>
      </w:r>
      <w:r>
        <w:rPr>
          <w:rFonts w:cstheme="minorHAnsi"/>
          <w:i/>
          <w:color w:val="000000"/>
        </w:rPr>
        <w:tab/>
      </w:r>
      <w:r>
        <w:rPr>
          <w:rFonts w:cstheme="minorHAnsi"/>
          <w:i/>
          <w:color w:val="000000"/>
        </w:rPr>
        <w:tab/>
      </w:r>
      <w:r>
        <w:rPr>
          <w:rFonts w:cstheme="minorHAnsi"/>
          <w:i/>
          <w:color w:val="000000"/>
        </w:rPr>
        <w:tab/>
      </w:r>
      <w:r>
        <w:rPr>
          <w:rFonts w:cstheme="minorHAnsi"/>
          <w:i/>
          <w:color w:val="000000"/>
        </w:rPr>
        <w:tab/>
      </w:r>
      <w:r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ab/>
        <w:t>177</w:t>
      </w:r>
    </w:p>
    <w:p w14:paraId="16542503" w14:textId="77777777" w:rsidR="00CF6F11" w:rsidRDefault="00CF6F11" w:rsidP="00FB02D9">
      <w:pPr>
        <w:spacing w:line="276" w:lineRule="auto"/>
        <w:rPr>
          <w:i/>
          <w:iCs/>
        </w:rPr>
      </w:pPr>
    </w:p>
    <w:p w14:paraId="2E3CF476" w14:textId="322F468F" w:rsidR="00F73C55" w:rsidRPr="00F73C55" w:rsidRDefault="00F73C55" w:rsidP="00FB02D9">
      <w:pPr>
        <w:spacing w:line="276" w:lineRule="auto"/>
        <w:rPr>
          <w:iCs/>
        </w:rPr>
      </w:pPr>
      <w:r>
        <w:rPr>
          <w:rFonts w:cstheme="minorHAnsi"/>
          <w:i/>
        </w:rPr>
        <w:t>Marwaha v UK Border Agency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</w:rPr>
        <w:t>5</w:t>
      </w:r>
      <w:r>
        <w:rPr>
          <w:rFonts w:cstheme="minorHAnsi"/>
        </w:rPr>
        <w:tab/>
        <w:t>189</w:t>
      </w:r>
    </w:p>
    <w:p w14:paraId="55C2A0B2" w14:textId="77777777" w:rsidR="00F73C55" w:rsidRDefault="00F73C55" w:rsidP="00FB02D9">
      <w:pPr>
        <w:spacing w:line="276" w:lineRule="auto"/>
        <w:rPr>
          <w:i/>
          <w:iCs/>
        </w:rPr>
      </w:pPr>
    </w:p>
    <w:p w14:paraId="4C4989FD" w14:textId="4BE0E725" w:rsidR="00BA033F" w:rsidRPr="00BA033F" w:rsidRDefault="00BA033F" w:rsidP="00FB02D9">
      <w:pPr>
        <w:spacing w:line="276" w:lineRule="auto"/>
        <w:rPr>
          <w:iCs/>
        </w:rPr>
      </w:pPr>
      <w:r>
        <w:rPr>
          <w:rFonts w:cstheme="minorHAnsi"/>
          <w:i/>
        </w:rPr>
        <w:t>R v M, C, and T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</w:rPr>
        <w:t>5</w:t>
      </w:r>
      <w:r>
        <w:rPr>
          <w:rFonts w:cstheme="minorHAnsi"/>
        </w:rPr>
        <w:tab/>
        <w:t>207</w:t>
      </w:r>
    </w:p>
    <w:p w14:paraId="6CA77CD5" w14:textId="77777777" w:rsidR="00BA033F" w:rsidRDefault="00BA033F" w:rsidP="00FB02D9">
      <w:pPr>
        <w:spacing w:line="276" w:lineRule="auto"/>
        <w:rPr>
          <w:i/>
          <w:iCs/>
        </w:rPr>
      </w:pPr>
    </w:p>
    <w:p w14:paraId="762D7A20" w14:textId="3C3F8A40" w:rsidR="002F06DE" w:rsidRPr="002F06DE" w:rsidRDefault="002F06DE" w:rsidP="00FB02D9">
      <w:pPr>
        <w:spacing w:line="276" w:lineRule="auto"/>
        <w:rPr>
          <w:szCs w:val="24"/>
        </w:rPr>
      </w:pPr>
      <w:r>
        <w:rPr>
          <w:i/>
          <w:iCs/>
        </w:rPr>
        <w:t>R (Newby Foods Ltd) v Food Standards Agency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4</w:t>
      </w:r>
      <w:r>
        <w:rPr>
          <w:iCs/>
        </w:rPr>
        <w:tab/>
        <w:t>157</w:t>
      </w:r>
    </w:p>
    <w:p w14:paraId="440C4963" w14:textId="77777777" w:rsidR="002F06DE" w:rsidRDefault="002F06DE" w:rsidP="00FB02D9">
      <w:pPr>
        <w:spacing w:line="276" w:lineRule="auto"/>
        <w:rPr>
          <w:i/>
          <w:szCs w:val="24"/>
        </w:rPr>
      </w:pPr>
    </w:p>
    <w:p w14:paraId="5AF5CF18" w14:textId="4F6DD835" w:rsidR="00483F65" w:rsidRPr="00483F65" w:rsidRDefault="00483F65" w:rsidP="00FB02D9">
      <w:pPr>
        <w:spacing w:line="276" w:lineRule="auto"/>
        <w:rPr>
          <w:szCs w:val="24"/>
          <w:lang w:val="en-US"/>
        </w:rPr>
      </w:pPr>
      <w:r>
        <w:rPr>
          <w:i/>
          <w:szCs w:val="24"/>
        </w:rPr>
        <w:t>Wood v TUI Travel Plc (T/A First Choice)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szCs w:val="24"/>
        </w:rPr>
        <w:t>2</w:t>
      </w:r>
      <w:r>
        <w:rPr>
          <w:szCs w:val="24"/>
        </w:rPr>
        <w:tab/>
        <w:t>81</w:t>
      </w:r>
    </w:p>
    <w:p w14:paraId="5AF5CF19" w14:textId="77777777" w:rsidR="00626B34" w:rsidRDefault="00626B34" w:rsidP="00FB02D9">
      <w:pPr>
        <w:spacing w:line="276" w:lineRule="auto"/>
        <w:rPr>
          <w:i/>
          <w:szCs w:val="24"/>
          <w:lang w:val="en-US"/>
        </w:rPr>
      </w:pPr>
    </w:p>
    <w:p w14:paraId="5AF5CF1D" w14:textId="77777777" w:rsidR="001B31CC" w:rsidRPr="00FB02D9" w:rsidRDefault="001B31CC" w:rsidP="00FB02D9">
      <w:pPr>
        <w:spacing w:line="276" w:lineRule="auto"/>
        <w:rPr>
          <w:szCs w:val="24"/>
        </w:rPr>
      </w:pPr>
    </w:p>
    <w:p w14:paraId="5AF5CF1E" w14:textId="77777777" w:rsidR="00E00A57" w:rsidRPr="00FB02D9" w:rsidRDefault="00E00A57" w:rsidP="00FB02D9">
      <w:pPr>
        <w:spacing w:line="276" w:lineRule="auto"/>
        <w:jc w:val="center"/>
        <w:rPr>
          <w:b/>
          <w:szCs w:val="24"/>
        </w:rPr>
      </w:pPr>
      <w:r w:rsidRPr="00FB02D9">
        <w:rPr>
          <w:b/>
          <w:szCs w:val="24"/>
        </w:rPr>
        <w:t xml:space="preserve">SUBJECT MATTER INDEX </w:t>
      </w:r>
    </w:p>
    <w:p w14:paraId="5AF5CF1F" w14:textId="77777777" w:rsidR="00E40542" w:rsidRPr="00FB02D9" w:rsidRDefault="00E40542" w:rsidP="00FB02D9">
      <w:pPr>
        <w:spacing w:line="276" w:lineRule="auto"/>
        <w:jc w:val="center"/>
        <w:rPr>
          <w:b/>
          <w:szCs w:val="24"/>
        </w:rPr>
      </w:pPr>
    </w:p>
    <w:p w14:paraId="6FD95203" w14:textId="77777777" w:rsidR="002F06DE" w:rsidRDefault="002F06DE" w:rsidP="002F06DE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Consumer contracts</w:t>
      </w:r>
    </w:p>
    <w:p w14:paraId="7F2C3C51" w14:textId="77777777" w:rsidR="002F06DE" w:rsidRDefault="002F06DE" w:rsidP="002F06DE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036FA6">
        <w:rPr>
          <w:rFonts w:cstheme="minorHAnsi"/>
          <w:color w:val="000000"/>
        </w:rPr>
        <w:t xml:space="preserve">Consumer contracts – cancellation rights – Cancellation of Contracts Made in a Consumer's Home or Place of Work etc. Regulations 2008, </w:t>
      </w:r>
      <w:proofErr w:type="spellStart"/>
      <w:r w:rsidRPr="00036FA6">
        <w:rPr>
          <w:rFonts w:cstheme="minorHAnsi"/>
          <w:color w:val="000000"/>
        </w:rPr>
        <w:t>reg</w:t>
      </w:r>
      <w:proofErr w:type="spellEnd"/>
      <w:r w:rsidRPr="00036FA6">
        <w:rPr>
          <w:rFonts w:cstheme="minorHAnsi"/>
          <w:color w:val="000000"/>
        </w:rPr>
        <w:t xml:space="preserve"> 5 – Directive 85/577/EEC – meaning of ‘excursion organised by the trader’</w:t>
      </w:r>
    </w:p>
    <w:p w14:paraId="2EA995A6" w14:textId="3E0C9662" w:rsidR="002F06DE" w:rsidRDefault="002F06DE" w:rsidP="002F06DE">
      <w:pPr>
        <w:spacing w:line="276" w:lineRule="auto"/>
        <w:contextualSpacing/>
        <w:jc w:val="both"/>
      </w:pPr>
      <w:proofErr w:type="spellStart"/>
      <w:r>
        <w:rPr>
          <w:i/>
          <w:iCs/>
        </w:rPr>
        <w:t>Kupeli</w:t>
      </w:r>
      <w:proofErr w:type="spellEnd"/>
      <w:r>
        <w:rPr>
          <w:i/>
          <w:iCs/>
        </w:rPr>
        <w:t xml:space="preserve"> v </w:t>
      </w:r>
      <w:proofErr w:type="spellStart"/>
      <w:r>
        <w:rPr>
          <w:i/>
          <w:iCs/>
        </w:rPr>
        <w:t>Atlasjet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Havacilik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Anonim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Sirketi</w:t>
      </w:r>
      <w:proofErr w:type="spellEnd"/>
      <w:r>
        <w:t xml:space="preserve"> [2017] CTLC 145</w:t>
      </w:r>
    </w:p>
    <w:p w14:paraId="03F21156" w14:textId="788FBAA6" w:rsidR="00B76020" w:rsidRDefault="00B76020" w:rsidP="002F06DE">
      <w:pPr>
        <w:spacing w:line="276" w:lineRule="auto"/>
        <w:contextualSpacing/>
        <w:jc w:val="both"/>
        <w:rPr>
          <w:b/>
          <w:szCs w:val="24"/>
        </w:rPr>
      </w:pPr>
    </w:p>
    <w:p w14:paraId="213403A6" w14:textId="77777777" w:rsidR="00B76020" w:rsidRDefault="00B76020" w:rsidP="00B76020">
      <w:pPr>
        <w:spacing w:after="120" w:line="240" w:lineRule="atLeast"/>
        <w:contextualSpacing/>
        <w:jc w:val="both"/>
        <w:rPr>
          <w:rFonts w:cstheme="minorHAnsi"/>
          <w:color w:val="000000"/>
        </w:rPr>
      </w:pPr>
      <w:r w:rsidRPr="00292DE7">
        <w:rPr>
          <w:rFonts w:cstheme="minorHAnsi"/>
          <w:color w:val="000000"/>
        </w:rPr>
        <w:t>Consumer contracts – trading standards –  letting agents – administration fees – duty to publicise – tenancy agreements – Consumer Rights Act 2015, section 83</w:t>
      </w:r>
    </w:p>
    <w:p w14:paraId="3CF86B2A" w14:textId="637CC587" w:rsidR="00B76020" w:rsidRDefault="00B76020" w:rsidP="00B76020">
      <w:pPr>
        <w:spacing w:line="276" w:lineRule="auto"/>
        <w:contextualSpacing/>
        <w:jc w:val="both"/>
        <w:rPr>
          <w:b/>
          <w:szCs w:val="24"/>
        </w:rPr>
      </w:pPr>
      <w:r>
        <w:rPr>
          <w:rFonts w:cstheme="minorHAnsi"/>
          <w:i/>
          <w:color w:val="000000"/>
        </w:rPr>
        <w:t>London Borough of Camden v Foxtons Limited</w:t>
      </w:r>
      <w:r>
        <w:rPr>
          <w:rFonts w:cstheme="minorHAnsi"/>
          <w:color w:val="000000"/>
        </w:rPr>
        <w:t xml:space="preserve"> [2017] CTLC 177</w:t>
      </w:r>
    </w:p>
    <w:p w14:paraId="11B535B0" w14:textId="77777777" w:rsidR="002F06DE" w:rsidRDefault="002F06DE" w:rsidP="00626B34">
      <w:pPr>
        <w:spacing w:line="276" w:lineRule="auto"/>
        <w:contextualSpacing/>
        <w:jc w:val="both"/>
        <w:rPr>
          <w:b/>
          <w:szCs w:val="24"/>
        </w:rPr>
      </w:pPr>
    </w:p>
    <w:p w14:paraId="5AF5CF20" w14:textId="3ADED59A" w:rsidR="00626B34" w:rsidRDefault="00626B34" w:rsidP="00626B34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Consumer credit</w:t>
      </w:r>
    </w:p>
    <w:p w14:paraId="5AF5CF21" w14:textId="77777777" w:rsidR="00626B34" w:rsidRDefault="00626B34" w:rsidP="00626B34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F471BE">
        <w:rPr>
          <w:rFonts w:cstheme="minorHAnsi"/>
          <w:lang w:val="en-US"/>
        </w:rPr>
        <w:t>Consumer credit – Directive 2008/48/EC – interpretation of the expressions ‘on paper’ and ‘durable medium’ – required information – reference for a preliminary ruling</w:t>
      </w:r>
    </w:p>
    <w:p w14:paraId="5AF5CF22" w14:textId="77777777" w:rsidR="00626B34" w:rsidRPr="00F471BE" w:rsidRDefault="00626B34" w:rsidP="00626B34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F471BE">
        <w:rPr>
          <w:i/>
          <w:szCs w:val="24"/>
        </w:rPr>
        <w:t xml:space="preserve">Home Credit Slovakia A.S. v </w:t>
      </w:r>
      <w:proofErr w:type="spellStart"/>
      <w:r w:rsidRPr="00F471BE">
        <w:rPr>
          <w:i/>
          <w:szCs w:val="24"/>
        </w:rPr>
        <w:t>Biroova</w:t>
      </w:r>
      <w:proofErr w:type="spellEnd"/>
      <w:r>
        <w:rPr>
          <w:i/>
          <w:szCs w:val="24"/>
        </w:rPr>
        <w:tab/>
        <w:t xml:space="preserve"> </w:t>
      </w:r>
      <w:r>
        <w:rPr>
          <w:szCs w:val="24"/>
        </w:rPr>
        <w:t>[2017] CTLC 31</w:t>
      </w:r>
    </w:p>
    <w:p w14:paraId="5AF5CF23" w14:textId="77777777" w:rsidR="00626B34" w:rsidRDefault="00626B34" w:rsidP="00626B34">
      <w:pPr>
        <w:spacing w:line="276" w:lineRule="auto"/>
        <w:contextualSpacing/>
        <w:jc w:val="both"/>
        <w:rPr>
          <w:b/>
          <w:szCs w:val="24"/>
        </w:rPr>
      </w:pPr>
    </w:p>
    <w:p w14:paraId="5AF5CF24" w14:textId="77777777" w:rsidR="00626B34" w:rsidRPr="00111933" w:rsidRDefault="00626B34" w:rsidP="00626B34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Financial services</w:t>
      </w:r>
    </w:p>
    <w:p w14:paraId="5AF5CF25" w14:textId="77777777" w:rsidR="00626B34" w:rsidRPr="00F471BE" w:rsidRDefault="00626B34" w:rsidP="00626B34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F471BE">
        <w:rPr>
          <w:rFonts w:cstheme="minorHAnsi"/>
          <w:lang w:val="en-US"/>
        </w:rPr>
        <w:t>Financial services – secret commissions – half secret commissions – brokers’ fees – secured lending – unfair relationships – Consumer Credit Act 1974, section 140A – sale at an undervalue – recission – restitution</w:t>
      </w:r>
    </w:p>
    <w:p w14:paraId="5AF5CF26" w14:textId="77777777" w:rsidR="00626B34" w:rsidRDefault="00626B34" w:rsidP="00626B34">
      <w:pPr>
        <w:spacing w:line="276" w:lineRule="auto"/>
        <w:contextualSpacing/>
        <w:jc w:val="both"/>
        <w:rPr>
          <w:szCs w:val="24"/>
        </w:rPr>
      </w:pPr>
      <w:r w:rsidRPr="00F471BE">
        <w:rPr>
          <w:i/>
          <w:szCs w:val="24"/>
        </w:rPr>
        <w:t>Commercial First Busi</w:t>
      </w:r>
      <w:r>
        <w:rPr>
          <w:i/>
          <w:szCs w:val="24"/>
        </w:rPr>
        <w:t>ness Limited v Pickup and Vernon</w:t>
      </w:r>
      <w:r>
        <w:rPr>
          <w:i/>
          <w:szCs w:val="24"/>
          <w:lang w:val="en-US"/>
        </w:rPr>
        <w:t xml:space="preserve"> </w:t>
      </w:r>
      <w:r>
        <w:rPr>
          <w:szCs w:val="24"/>
        </w:rPr>
        <w:t>[2017</w:t>
      </w:r>
      <w:r w:rsidRPr="00FA32F2">
        <w:rPr>
          <w:szCs w:val="24"/>
        </w:rPr>
        <w:t>] CTLC</w:t>
      </w:r>
      <w:r>
        <w:rPr>
          <w:szCs w:val="24"/>
        </w:rPr>
        <w:t xml:space="preserve"> 1</w:t>
      </w:r>
    </w:p>
    <w:p w14:paraId="5AF5CF27" w14:textId="77777777" w:rsidR="00507874" w:rsidRDefault="00507874" w:rsidP="00626B34">
      <w:pPr>
        <w:spacing w:line="276" w:lineRule="auto"/>
        <w:contextualSpacing/>
        <w:jc w:val="both"/>
        <w:rPr>
          <w:szCs w:val="24"/>
        </w:rPr>
      </w:pPr>
    </w:p>
    <w:p w14:paraId="5AF5CF28" w14:textId="77777777" w:rsidR="00507874" w:rsidRDefault="00507874" w:rsidP="00507874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4A4224">
        <w:rPr>
          <w:rFonts w:cstheme="minorHAnsi"/>
          <w:color w:val="000000"/>
        </w:rPr>
        <w:t>Financial services – assumption of responsibility – duty of care – Financial Conduct Authority – interest rate hedging products – mis-selling – regulatory review – limitation</w:t>
      </w:r>
    </w:p>
    <w:p w14:paraId="5AF5CF29" w14:textId="77777777" w:rsidR="00507874" w:rsidRDefault="00507874" w:rsidP="00507874">
      <w:pPr>
        <w:spacing w:line="276" w:lineRule="auto"/>
        <w:contextualSpacing/>
        <w:jc w:val="both"/>
        <w:rPr>
          <w:rFonts w:cstheme="minorHAnsi"/>
          <w:color w:val="000000"/>
        </w:rPr>
      </w:pPr>
      <w:r>
        <w:rPr>
          <w:i/>
          <w:iCs/>
        </w:rPr>
        <w:t xml:space="preserve">CGL Group Ltd v Royal Bank of Scotland Plc </w:t>
      </w:r>
      <w:r>
        <w:t>[2017] CTLC 97</w:t>
      </w:r>
    </w:p>
    <w:p w14:paraId="5AF5CF2A" w14:textId="77777777" w:rsidR="00507874" w:rsidRDefault="00507874" w:rsidP="00507874">
      <w:pPr>
        <w:spacing w:line="276" w:lineRule="auto"/>
        <w:contextualSpacing/>
        <w:jc w:val="both"/>
        <w:rPr>
          <w:rFonts w:cstheme="minorHAnsi"/>
          <w:color w:val="000000"/>
        </w:rPr>
      </w:pPr>
    </w:p>
    <w:p w14:paraId="5AF5CF2B" w14:textId="77777777" w:rsidR="00507874" w:rsidRDefault="00507874" w:rsidP="00507874">
      <w:pPr>
        <w:spacing w:line="276" w:lineRule="auto"/>
        <w:contextualSpacing/>
        <w:jc w:val="both"/>
        <w:rPr>
          <w:rFonts w:cstheme="minorHAnsi"/>
          <w:color w:val="000000"/>
        </w:rPr>
      </w:pPr>
      <w:r w:rsidRPr="004A4224">
        <w:rPr>
          <w:rFonts w:cstheme="minorHAnsi"/>
          <w:color w:val="000000"/>
        </w:rPr>
        <w:t>Financial services – payment services – meaning of ‘durable medium’ – Directive 2007/64/EC – payment services – framework contracts – prior general information – electronic mailbox – reference for a preliminary ruling</w:t>
      </w:r>
    </w:p>
    <w:p w14:paraId="5AF5CF2C" w14:textId="77777777" w:rsidR="00507874" w:rsidRPr="00507874" w:rsidRDefault="00507874" w:rsidP="00626B34">
      <w:pPr>
        <w:spacing w:line="276" w:lineRule="auto"/>
        <w:contextualSpacing/>
        <w:jc w:val="both"/>
        <w:rPr>
          <w:rFonts w:cstheme="minorHAnsi"/>
          <w:lang w:val="en-US"/>
        </w:rPr>
      </w:pPr>
      <w:r>
        <w:rPr>
          <w:i/>
          <w:iCs/>
        </w:rPr>
        <w:t>BAWAG PSK Bank v VKI</w:t>
      </w:r>
      <w:r>
        <w:t xml:space="preserve"> [2017] CTLC 129</w:t>
      </w:r>
    </w:p>
    <w:p w14:paraId="5AF5CF2D" w14:textId="77777777" w:rsidR="00D94FF3" w:rsidRDefault="00D94FF3" w:rsidP="00CA4112">
      <w:pPr>
        <w:spacing w:line="276" w:lineRule="auto"/>
        <w:rPr>
          <w:szCs w:val="24"/>
          <w:lang w:eastAsia="en-GB"/>
        </w:rPr>
      </w:pPr>
    </w:p>
    <w:p w14:paraId="5E211994" w14:textId="77777777" w:rsidR="002F06DE" w:rsidRPr="004368CC" w:rsidRDefault="002F06DE" w:rsidP="002F06DE">
      <w:pPr>
        <w:spacing w:line="276" w:lineRule="auto"/>
        <w:contextualSpacing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Food law</w:t>
      </w:r>
    </w:p>
    <w:p w14:paraId="36DF1E67" w14:textId="77777777" w:rsidR="002F06DE" w:rsidRDefault="002F06DE" w:rsidP="002F06DE">
      <w:pPr>
        <w:spacing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Food law – mechanically separated meat – </w:t>
      </w:r>
      <w:proofErr w:type="spellStart"/>
      <w:r>
        <w:rPr>
          <w:rFonts w:cstheme="minorHAnsi"/>
          <w:color w:val="000000"/>
        </w:rPr>
        <w:t>desinewed</w:t>
      </w:r>
      <w:proofErr w:type="spellEnd"/>
      <w:r>
        <w:rPr>
          <w:rFonts w:cstheme="minorHAnsi"/>
          <w:color w:val="000000"/>
        </w:rPr>
        <w:t xml:space="preserve"> meat – food safety – EU Regulation No. 853/2004 – preliminary references – EU law – bone scrapings</w:t>
      </w:r>
    </w:p>
    <w:p w14:paraId="0D57F52F" w14:textId="3D837DED" w:rsidR="002F06DE" w:rsidRDefault="002F06DE" w:rsidP="002F06DE">
      <w:pPr>
        <w:spacing w:line="276" w:lineRule="auto"/>
        <w:contextualSpacing/>
        <w:jc w:val="both"/>
      </w:pPr>
      <w:r>
        <w:rPr>
          <w:i/>
          <w:iCs/>
        </w:rPr>
        <w:t>R (Newby Foods Ltd) v Food Standards Agency</w:t>
      </w:r>
      <w:r>
        <w:t xml:space="preserve"> [2017] CTLC 157</w:t>
      </w:r>
    </w:p>
    <w:p w14:paraId="7882B7F3" w14:textId="49D7D0B9" w:rsidR="004B3D1E" w:rsidRDefault="004B3D1E" w:rsidP="002F06DE">
      <w:pPr>
        <w:spacing w:line="276" w:lineRule="auto"/>
        <w:contextualSpacing/>
        <w:jc w:val="both"/>
        <w:rPr>
          <w:b/>
          <w:szCs w:val="24"/>
        </w:rPr>
      </w:pPr>
    </w:p>
    <w:p w14:paraId="005DB57B" w14:textId="77777777" w:rsidR="004B3D1E" w:rsidRPr="00FC6D85" w:rsidRDefault="004B3D1E" w:rsidP="004B3D1E">
      <w:pPr>
        <w:spacing w:after="120" w:line="240" w:lineRule="atLeast"/>
        <w:contextualSpacing/>
        <w:jc w:val="both"/>
        <w:rPr>
          <w:b/>
          <w:szCs w:val="24"/>
        </w:rPr>
      </w:pPr>
      <w:r>
        <w:rPr>
          <w:b/>
          <w:szCs w:val="24"/>
        </w:rPr>
        <w:t>Licensing</w:t>
      </w:r>
    </w:p>
    <w:p w14:paraId="2607DAC5" w14:textId="77777777" w:rsidR="004B3D1E" w:rsidRDefault="004B3D1E" w:rsidP="004B3D1E">
      <w:pPr>
        <w:pStyle w:val="Body"/>
        <w:spacing w:after="120" w:line="240" w:lineRule="atLeast"/>
        <w:contextualSpacing/>
        <w:jc w:val="both"/>
        <w:rPr>
          <w:rFonts w:eastAsia="Calibri" w:cstheme="minorHAnsi"/>
          <w:szCs w:val="26"/>
          <w:bdr w:val="none" w:sz="0" w:space="0" w:color="auto"/>
          <w:lang w:val="en-GB" w:eastAsia="en-US"/>
        </w:rPr>
      </w:pPr>
      <w:r w:rsidRPr="00FC6D85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Licensing – controlled drugs – poppies – importation of poppy straw – Misuse of Drugs Act 1971 – meaning of ‘mowed’ poppies – </w:t>
      </w:r>
      <w:proofErr w:type="spellStart"/>
      <w:r w:rsidRPr="00FC6D85">
        <w:rPr>
          <w:rFonts w:eastAsia="Calibri" w:cstheme="minorHAnsi"/>
          <w:szCs w:val="26"/>
          <w:bdr w:val="none" w:sz="0" w:space="0" w:color="auto"/>
          <w:lang w:val="en-GB" w:eastAsia="en-US"/>
        </w:rPr>
        <w:t>travaux</w:t>
      </w:r>
      <w:proofErr w:type="spellEnd"/>
      <w:r w:rsidRPr="00FC6D85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</w:t>
      </w:r>
      <w:proofErr w:type="spellStart"/>
      <w:r w:rsidRPr="00FC6D85">
        <w:rPr>
          <w:rFonts w:eastAsia="Calibri" w:cstheme="minorHAnsi"/>
          <w:szCs w:val="26"/>
          <w:bdr w:val="none" w:sz="0" w:space="0" w:color="auto"/>
          <w:lang w:val="en-GB" w:eastAsia="en-US"/>
        </w:rPr>
        <w:t>preparatoires</w:t>
      </w:r>
      <w:proofErr w:type="spellEnd"/>
      <w:r w:rsidRPr="00FC6D85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– floristry </w:t>
      </w:r>
    </w:p>
    <w:p w14:paraId="776F3553" w14:textId="793B73D9" w:rsidR="004B3D1E" w:rsidRPr="004B3D1E" w:rsidRDefault="004B3D1E" w:rsidP="004B3D1E">
      <w:pPr>
        <w:pStyle w:val="Body"/>
        <w:spacing w:after="120" w:line="240" w:lineRule="atLeast"/>
        <w:contextualSpacing/>
        <w:jc w:val="both"/>
        <w:rPr>
          <w:rFonts w:eastAsia="Calibri" w:cstheme="minorHAnsi"/>
          <w:szCs w:val="26"/>
          <w:bdr w:val="none" w:sz="0" w:space="0" w:color="auto"/>
          <w:lang w:val="en-GB" w:eastAsia="en-US"/>
        </w:rPr>
      </w:pPr>
      <w:r>
        <w:rPr>
          <w:rFonts w:eastAsia="Calibri" w:cstheme="minorHAnsi"/>
          <w:i/>
          <w:szCs w:val="26"/>
          <w:bdr w:val="none" w:sz="0" w:space="0" w:color="auto"/>
          <w:lang w:val="en-GB" w:eastAsia="en-US"/>
        </w:rPr>
        <w:t>Marwaha v UK Border Agency</w:t>
      </w:r>
      <w:r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[2017] CTLC 189</w:t>
      </w:r>
    </w:p>
    <w:p w14:paraId="13026674" w14:textId="77777777" w:rsidR="002F06DE" w:rsidRDefault="002F06DE" w:rsidP="00483F65">
      <w:pPr>
        <w:spacing w:line="276" w:lineRule="auto"/>
        <w:contextualSpacing/>
        <w:jc w:val="both"/>
        <w:rPr>
          <w:b/>
          <w:szCs w:val="24"/>
        </w:rPr>
      </w:pPr>
    </w:p>
    <w:p w14:paraId="5AF5CF2E" w14:textId="0265B5F7" w:rsidR="00483F65" w:rsidRDefault="00483F65" w:rsidP="00483F65">
      <w:pPr>
        <w:spacing w:line="276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Travel law</w:t>
      </w:r>
    </w:p>
    <w:p w14:paraId="5AF5CF2F" w14:textId="77777777" w:rsidR="00483F65" w:rsidRPr="00B20288" w:rsidRDefault="00483F65" w:rsidP="00483F65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B20288">
        <w:rPr>
          <w:rFonts w:cstheme="minorHAnsi"/>
          <w:lang w:val="en-US"/>
        </w:rPr>
        <w:t>Travel law – timeshares – ‘open’ exchanges – timeshare ‘segmentation’ – unfair terms – fiduciary duties of timeshare exchange operators – misrepresentation – apparent authority – limitation</w:t>
      </w:r>
    </w:p>
    <w:p w14:paraId="5AF5CF30" w14:textId="77777777" w:rsidR="00483F65" w:rsidRPr="00F471BE" w:rsidRDefault="00483F65" w:rsidP="00483F65">
      <w:pPr>
        <w:spacing w:line="276" w:lineRule="auto"/>
        <w:contextualSpacing/>
        <w:jc w:val="both"/>
        <w:rPr>
          <w:rFonts w:cstheme="minorHAnsi"/>
          <w:lang w:val="en-US"/>
        </w:rPr>
      </w:pPr>
      <w:r>
        <w:rPr>
          <w:i/>
          <w:szCs w:val="24"/>
        </w:rPr>
        <w:t xml:space="preserve">Abbott &amp; ors v RCI Europe </w:t>
      </w:r>
      <w:r>
        <w:rPr>
          <w:szCs w:val="24"/>
        </w:rPr>
        <w:t>[2017] CTLC 53</w:t>
      </w:r>
    </w:p>
    <w:p w14:paraId="5AF5CF31" w14:textId="77777777" w:rsidR="00483F65" w:rsidRDefault="00483F65" w:rsidP="00483F65">
      <w:pPr>
        <w:spacing w:line="276" w:lineRule="auto"/>
        <w:contextualSpacing/>
        <w:jc w:val="both"/>
        <w:rPr>
          <w:b/>
          <w:szCs w:val="24"/>
        </w:rPr>
      </w:pPr>
    </w:p>
    <w:p w14:paraId="5AF5CF32" w14:textId="77777777" w:rsidR="00483F65" w:rsidRPr="00AA6B00" w:rsidRDefault="00483F65" w:rsidP="00483F65">
      <w:pPr>
        <w:spacing w:line="276" w:lineRule="auto"/>
        <w:contextualSpacing/>
        <w:jc w:val="both"/>
        <w:rPr>
          <w:rFonts w:cstheme="minorHAnsi"/>
          <w:lang w:val="en-US"/>
        </w:rPr>
      </w:pPr>
      <w:r w:rsidRPr="00AA6B00">
        <w:rPr>
          <w:rFonts w:cstheme="minorHAnsi"/>
          <w:lang w:val="en-US"/>
        </w:rPr>
        <w:t xml:space="preserve">Travel law – food poisoning – property in food – package holidays – </w:t>
      </w:r>
      <w:r w:rsidRPr="00AA6B00">
        <w:rPr>
          <w:rFonts w:cstheme="minorHAnsi"/>
          <w:color w:val="000000"/>
        </w:rPr>
        <w:t>Supply of Goods and Services Act 1982, section 4 – implied condition of satisfactory quality – gastroenteritis</w:t>
      </w:r>
    </w:p>
    <w:p w14:paraId="5AF5CF33" w14:textId="006F5989" w:rsidR="00483F65" w:rsidRDefault="00483F65" w:rsidP="00483F65">
      <w:pPr>
        <w:spacing w:line="276" w:lineRule="auto"/>
        <w:rPr>
          <w:szCs w:val="24"/>
        </w:rPr>
      </w:pPr>
      <w:r>
        <w:rPr>
          <w:i/>
          <w:szCs w:val="24"/>
        </w:rPr>
        <w:t>Wood v TUI Travel Plc (T/A First Choice)</w:t>
      </w:r>
      <w:r>
        <w:rPr>
          <w:szCs w:val="24"/>
        </w:rPr>
        <w:t xml:space="preserve"> [2017</w:t>
      </w:r>
      <w:r w:rsidRPr="00FA32F2">
        <w:rPr>
          <w:szCs w:val="24"/>
        </w:rPr>
        <w:t>] CTLC</w:t>
      </w:r>
      <w:r>
        <w:rPr>
          <w:szCs w:val="24"/>
        </w:rPr>
        <w:t xml:space="preserve"> 81</w:t>
      </w:r>
    </w:p>
    <w:p w14:paraId="4ACA7BDD" w14:textId="54FEB5BC" w:rsidR="004E096D" w:rsidRDefault="004E096D" w:rsidP="00483F65">
      <w:pPr>
        <w:spacing w:line="276" w:lineRule="auto"/>
        <w:rPr>
          <w:szCs w:val="24"/>
          <w:lang w:eastAsia="en-GB"/>
        </w:rPr>
      </w:pPr>
    </w:p>
    <w:p w14:paraId="6562D9E4" w14:textId="77777777" w:rsidR="004E096D" w:rsidRPr="00A376C7" w:rsidRDefault="004E096D" w:rsidP="004E096D">
      <w:pPr>
        <w:pStyle w:val="Body"/>
        <w:spacing w:after="120" w:line="240" w:lineRule="atLeast"/>
        <w:contextualSpacing/>
        <w:jc w:val="both"/>
        <w:rPr>
          <w:rFonts w:eastAsia="Calibri" w:cstheme="minorHAnsi"/>
          <w:b/>
          <w:szCs w:val="26"/>
          <w:bdr w:val="none" w:sz="0" w:space="0" w:color="auto"/>
          <w:lang w:val="en-GB" w:eastAsia="en-US"/>
        </w:rPr>
      </w:pPr>
      <w:r>
        <w:rPr>
          <w:rFonts w:eastAsia="Calibri" w:cstheme="minorHAnsi"/>
          <w:b/>
          <w:szCs w:val="26"/>
          <w:bdr w:val="none" w:sz="0" w:space="0" w:color="auto"/>
          <w:lang w:val="en-GB" w:eastAsia="en-US"/>
        </w:rPr>
        <w:t>Trade marks</w:t>
      </w:r>
    </w:p>
    <w:p w14:paraId="1C4DE00A" w14:textId="77777777" w:rsidR="004E096D" w:rsidRDefault="004E096D" w:rsidP="004E096D">
      <w:pPr>
        <w:pStyle w:val="Body"/>
        <w:spacing w:after="120" w:line="240" w:lineRule="atLeast"/>
        <w:contextualSpacing/>
        <w:jc w:val="both"/>
        <w:rPr>
          <w:rFonts w:eastAsia="Calibri" w:cstheme="minorHAnsi"/>
          <w:szCs w:val="26"/>
          <w:bdr w:val="none" w:sz="0" w:space="0" w:color="auto"/>
          <w:lang w:val="en-GB" w:eastAsia="en-US"/>
        </w:rPr>
      </w:pPr>
      <w:r w:rsidRPr="00A7532A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Intellectual property — </w:t>
      </w:r>
      <w:proofErr w:type="spellStart"/>
      <w:r w:rsidRPr="00A7532A">
        <w:rPr>
          <w:rFonts w:eastAsia="Calibri" w:cstheme="minorHAnsi"/>
          <w:szCs w:val="26"/>
          <w:bdr w:val="none" w:sz="0" w:space="0" w:color="auto"/>
          <w:lang w:val="en-GB" w:eastAsia="en-US"/>
        </w:rPr>
        <w:t>trade marks</w:t>
      </w:r>
      <w:proofErr w:type="spellEnd"/>
      <w:r w:rsidRPr="00A7532A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— infringement — grey goods — criminal liability — use of trade mark without consent of owner — </w:t>
      </w:r>
      <w:proofErr w:type="spellStart"/>
      <w:r w:rsidRPr="00A7532A">
        <w:rPr>
          <w:rFonts w:eastAsia="Calibri" w:cstheme="minorHAnsi"/>
          <w:szCs w:val="26"/>
          <w:bdr w:val="none" w:sz="0" w:space="0" w:color="auto"/>
          <w:lang w:val="en-GB" w:eastAsia="en-US"/>
        </w:rPr>
        <w:t>trade marks</w:t>
      </w:r>
      <w:proofErr w:type="spellEnd"/>
      <w:r w:rsidRPr="00A7532A"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applied to goods with consent of owner, but goods disposed of without consent — peaceful enjoyment of possessions — Trade Marks Act 1994, section 92 – Article 1, Protocol 1 ECHR – statutory interpretation</w:t>
      </w:r>
    </w:p>
    <w:p w14:paraId="72989BCC" w14:textId="77777777" w:rsidR="004E096D" w:rsidRPr="00292DE7" w:rsidRDefault="004E096D" w:rsidP="004E096D">
      <w:pPr>
        <w:pStyle w:val="Body"/>
        <w:spacing w:after="120" w:line="240" w:lineRule="atLeast"/>
        <w:contextualSpacing/>
        <w:jc w:val="both"/>
        <w:rPr>
          <w:rFonts w:eastAsia="Calibri" w:cstheme="minorHAnsi"/>
          <w:szCs w:val="26"/>
          <w:bdr w:val="none" w:sz="0" w:space="0" w:color="auto"/>
          <w:lang w:val="en-GB" w:eastAsia="en-US"/>
        </w:rPr>
      </w:pPr>
      <w:r>
        <w:rPr>
          <w:rFonts w:eastAsia="Calibri" w:cstheme="minorHAnsi"/>
          <w:i/>
          <w:szCs w:val="26"/>
          <w:bdr w:val="none" w:sz="0" w:space="0" w:color="auto"/>
          <w:lang w:val="en-GB" w:eastAsia="en-US"/>
        </w:rPr>
        <w:t>R v M, C, and T</w:t>
      </w:r>
      <w:r>
        <w:rPr>
          <w:rFonts w:eastAsia="Calibri" w:cstheme="minorHAnsi"/>
          <w:szCs w:val="26"/>
          <w:bdr w:val="none" w:sz="0" w:space="0" w:color="auto"/>
          <w:lang w:val="en-GB" w:eastAsia="en-US"/>
        </w:rPr>
        <w:t xml:space="preserve"> </w:t>
      </w:r>
      <w:r w:rsidRPr="00A376C7">
        <w:rPr>
          <w:rFonts w:eastAsia="Calibri" w:cs="Times New Roman"/>
          <w:color w:val="auto"/>
          <w:szCs w:val="26"/>
          <w:bdr w:val="none" w:sz="0" w:space="0" w:color="auto"/>
          <w:lang w:val="en-GB" w:eastAsia="en-US"/>
        </w:rPr>
        <w:t>[2017] CTLC 207</w:t>
      </w:r>
    </w:p>
    <w:p w14:paraId="4A8EDA8B" w14:textId="77777777" w:rsidR="004E096D" w:rsidRPr="00FB02D9" w:rsidRDefault="004E096D" w:rsidP="00483F65">
      <w:pPr>
        <w:spacing w:line="276" w:lineRule="auto"/>
        <w:rPr>
          <w:szCs w:val="24"/>
          <w:lang w:eastAsia="en-GB"/>
        </w:rPr>
      </w:pPr>
    </w:p>
    <w:sectPr w:rsidR="004E096D" w:rsidRPr="00FB02D9" w:rsidSect="000621C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7"/>
    <w:rsid w:val="00023B4E"/>
    <w:rsid w:val="000267C9"/>
    <w:rsid w:val="000621C7"/>
    <w:rsid w:val="00064844"/>
    <w:rsid w:val="00070795"/>
    <w:rsid w:val="000901FD"/>
    <w:rsid w:val="000A1DC0"/>
    <w:rsid w:val="000B30BF"/>
    <w:rsid w:val="000E527B"/>
    <w:rsid w:val="000F1231"/>
    <w:rsid w:val="000F3002"/>
    <w:rsid w:val="00110D60"/>
    <w:rsid w:val="00132D34"/>
    <w:rsid w:val="0014713B"/>
    <w:rsid w:val="001967D9"/>
    <w:rsid w:val="00197488"/>
    <w:rsid w:val="001B31CC"/>
    <w:rsid w:val="001D7452"/>
    <w:rsid w:val="001E06FF"/>
    <w:rsid w:val="001F0883"/>
    <w:rsid w:val="001F7FDA"/>
    <w:rsid w:val="002327B2"/>
    <w:rsid w:val="00240C9E"/>
    <w:rsid w:val="00243A68"/>
    <w:rsid w:val="002452B0"/>
    <w:rsid w:val="00252289"/>
    <w:rsid w:val="0025258F"/>
    <w:rsid w:val="002614B5"/>
    <w:rsid w:val="002645EB"/>
    <w:rsid w:val="00273F85"/>
    <w:rsid w:val="00296B84"/>
    <w:rsid w:val="002A0979"/>
    <w:rsid w:val="002A375D"/>
    <w:rsid w:val="002B0D2B"/>
    <w:rsid w:val="002B4A42"/>
    <w:rsid w:val="002B5DBD"/>
    <w:rsid w:val="002E3638"/>
    <w:rsid w:val="002F06DE"/>
    <w:rsid w:val="00304D4C"/>
    <w:rsid w:val="00312CA3"/>
    <w:rsid w:val="00333EC0"/>
    <w:rsid w:val="0034716D"/>
    <w:rsid w:val="003853E6"/>
    <w:rsid w:val="003A19B8"/>
    <w:rsid w:val="003B43DC"/>
    <w:rsid w:val="003C142E"/>
    <w:rsid w:val="003C56BB"/>
    <w:rsid w:val="003D2AAA"/>
    <w:rsid w:val="003F4CA4"/>
    <w:rsid w:val="0045153D"/>
    <w:rsid w:val="00454311"/>
    <w:rsid w:val="00477922"/>
    <w:rsid w:val="00483F65"/>
    <w:rsid w:val="004923D5"/>
    <w:rsid w:val="00494C28"/>
    <w:rsid w:val="00495CC3"/>
    <w:rsid w:val="004A7732"/>
    <w:rsid w:val="004B11EC"/>
    <w:rsid w:val="004B3D1E"/>
    <w:rsid w:val="004E096D"/>
    <w:rsid w:val="004E4E2A"/>
    <w:rsid w:val="004F78BF"/>
    <w:rsid w:val="00501273"/>
    <w:rsid w:val="00507874"/>
    <w:rsid w:val="0052354D"/>
    <w:rsid w:val="00525815"/>
    <w:rsid w:val="00547476"/>
    <w:rsid w:val="005575E8"/>
    <w:rsid w:val="00582FB6"/>
    <w:rsid w:val="005A591C"/>
    <w:rsid w:val="005B5C1F"/>
    <w:rsid w:val="005C4FD4"/>
    <w:rsid w:val="005D2300"/>
    <w:rsid w:val="005D712A"/>
    <w:rsid w:val="00615E3E"/>
    <w:rsid w:val="00620D31"/>
    <w:rsid w:val="00626B34"/>
    <w:rsid w:val="00645294"/>
    <w:rsid w:val="00653C8B"/>
    <w:rsid w:val="00657C4F"/>
    <w:rsid w:val="00662725"/>
    <w:rsid w:val="006645E7"/>
    <w:rsid w:val="006675FC"/>
    <w:rsid w:val="006B0860"/>
    <w:rsid w:val="006C3C11"/>
    <w:rsid w:val="006E6413"/>
    <w:rsid w:val="006E7E01"/>
    <w:rsid w:val="007006F5"/>
    <w:rsid w:val="007007B9"/>
    <w:rsid w:val="0077498C"/>
    <w:rsid w:val="00791D1E"/>
    <w:rsid w:val="00793716"/>
    <w:rsid w:val="00793D31"/>
    <w:rsid w:val="007A2EB8"/>
    <w:rsid w:val="007B141E"/>
    <w:rsid w:val="007C1F33"/>
    <w:rsid w:val="007D62CE"/>
    <w:rsid w:val="00800534"/>
    <w:rsid w:val="008566DA"/>
    <w:rsid w:val="00863952"/>
    <w:rsid w:val="00865E98"/>
    <w:rsid w:val="008C1002"/>
    <w:rsid w:val="008C4105"/>
    <w:rsid w:val="008E0A34"/>
    <w:rsid w:val="008E4949"/>
    <w:rsid w:val="008F06E3"/>
    <w:rsid w:val="00907F4B"/>
    <w:rsid w:val="009145C8"/>
    <w:rsid w:val="00922F40"/>
    <w:rsid w:val="009363F1"/>
    <w:rsid w:val="00945D0D"/>
    <w:rsid w:val="00960DAF"/>
    <w:rsid w:val="00965B5C"/>
    <w:rsid w:val="00971E80"/>
    <w:rsid w:val="00972E4F"/>
    <w:rsid w:val="00985E16"/>
    <w:rsid w:val="00991DE8"/>
    <w:rsid w:val="009A12B4"/>
    <w:rsid w:val="009D535B"/>
    <w:rsid w:val="009E5BEF"/>
    <w:rsid w:val="009F3265"/>
    <w:rsid w:val="00A10B6D"/>
    <w:rsid w:val="00A1222F"/>
    <w:rsid w:val="00A61986"/>
    <w:rsid w:val="00A62BC0"/>
    <w:rsid w:val="00A7459E"/>
    <w:rsid w:val="00A90460"/>
    <w:rsid w:val="00AA0E92"/>
    <w:rsid w:val="00AB061E"/>
    <w:rsid w:val="00AC0F08"/>
    <w:rsid w:val="00AE0B91"/>
    <w:rsid w:val="00AF164E"/>
    <w:rsid w:val="00B26509"/>
    <w:rsid w:val="00B27C83"/>
    <w:rsid w:val="00B442E9"/>
    <w:rsid w:val="00B55D7E"/>
    <w:rsid w:val="00B76020"/>
    <w:rsid w:val="00BA033F"/>
    <w:rsid w:val="00BB0602"/>
    <w:rsid w:val="00BB13F8"/>
    <w:rsid w:val="00BB7924"/>
    <w:rsid w:val="00BD4537"/>
    <w:rsid w:val="00BE41A4"/>
    <w:rsid w:val="00C06B06"/>
    <w:rsid w:val="00C12E65"/>
    <w:rsid w:val="00C24BE9"/>
    <w:rsid w:val="00C31E18"/>
    <w:rsid w:val="00C3723D"/>
    <w:rsid w:val="00C42486"/>
    <w:rsid w:val="00C63804"/>
    <w:rsid w:val="00C64683"/>
    <w:rsid w:val="00C73749"/>
    <w:rsid w:val="00C80C7D"/>
    <w:rsid w:val="00C96D4A"/>
    <w:rsid w:val="00CA4112"/>
    <w:rsid w:val="00CA6306"/>
    <w:rsid w:val="00CC013D"/>
    <w:rsid w:val="00CC5838"/>
    <w:rsid w:val="00CD53EF"/>
    <w:rsid w:val="00CE0E5A"/>
    <w:rsid w:val="00CF261A"/>
    <w:rsid w:val="00CF4FC1"/>
    <w:rsid w:val="00CF6F11"/>
    <w:rsid w:val="00D10D3B"/>
    <w:rsid w:val="00D15E9F"/>
    <w:rsid w:val="00D1770C"/>
    <w:rsid w:val="00D259A4"/>
    <w:rsid w:val="00D41464"/>
    <w:rsid w:val="00D414D9"/>
    <w:rsid w:val="00D638C6"/>
    <w:rsid w:val="00D739B6"/>
    <w:rsid w:val="00D86349"/>
    <w:rsid w:val="00D8641E"/>
    <w:rsid w:val="00D867A9"/>
    <w:rsid w:val="00D94FF3"/>
    <w:rsid w:val="00DA5AB0"/>
    <w:rsid w:val="00DB6FF3"/>
    <w:rsid w:val="00DB70F6"/>
    <w:rsid w:val="00DC16CE"/>
    <w:rsid w:val="00DC33EB"/>
    <w:rsid w:val="00DE1FE5"/>
    <w:rsid w:val="00DE44CC"/>
    <w:rsid w:val="00DE7628"/>
    <w:rsid w:val="00DF52F3"/>
    <w:rsid w:val="00E00A57"/>
    <w:rsid w:val="00E40542"/>
    <w:rsid w:val="00E54BE8"/>
    <w:rsid w:val="00E57962"/>
    <w:rsid w:val="00E62A70"/>
    <w:rsid w:val="00E665A0"/>
    <w:rsid w:val="00EA5676"/>
    <w:rsid w:val="00EC4DE8"/>
    <w:rsid w:val="00EC6FD1"/>
    <w:rsid w:val="00EE4D06"/>
    <w:rsid w:val="00EF45B3"/>
    <w:rsid w:val="00EF5BA2"/>
    <w:rsid w:val="00EF6719"/>
    <w:rsid w:val="00F04E86"/>
    <w:rsid w:val="00F341CB"/>
    <w:rsid w:val="00F345CF"/>
    <w:rsid w:val="00F52791"/>
    <w:rsid w:val="00F60AE3"/>
    <w:rsid w:val="00F61BB3"/>
    <w:rsid w:val="00F63B59"/>
    <w:rsid w:val="00F704BC"/>
    <w:rsid w:val="00F73C55"/>
    <w:rsid w:val="00F83364"/>
    <w:rsid w:val="00F856A1"/>
    <w:rsid w:val="00FA42FA"/>
    <w:rsid w:val="00FA6278"/>
    <w:rsid w:val="00FB02D9"/>
    <w:rsid w:val="00FC3B63"/>
    <w:rsid w:val="00FE25F5"/>
    <w:rsid w:val="00FE5369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CF08"/>
  <w15:docId w15:val="{4EF2D399-2283-4A74-9A55-D28245AE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57"/>
    <w:pPr>
      <w:spacing w:line="480" w:lineRule="auto"/>
    </w:pPr>
    <w:rPr>
      <w:rFonts w:ascii="Times New Roman" w:hAnsi="Times New Roman"/>
      <w:sz w:val="24"/>
      <w:szCs w:val="26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863952"/>
    <w:pPr>
      <w:widowControl w:val="0"/>
      <w:spacing w:line="240" w:lineRule="auto"/>
      <w:ind w:left="154"/>
      <w:outlineLvl w:val="0"/>
    </w:pPr>
    <w:rPr>
      <w:rFonts w:eastAsia="Times New Roman"/>
      <w:b/>
      <w:bCs/>
      <w:sz w:val="22"/>
      <w:szCs w:val="2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A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922"/>
    <w:rPr>
      <w:rFonts w:ascii="Times New Roman" w:hAnsi="Times New Roman"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863952"/>
    <w:rPr>
      <w:rFonts w:ascii="Times New Roman" w:eastAsia="Times New Roman" w:hAnsi="Times New Roman"/>
      <w:b/>
      <w:bCs/>
      <w:sz w:val="22"/>
      <w:szCs w:val="22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0A3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ody">
    <w:name w:val="Body"/>
    <w:rsid w:val="004B3D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Software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Samuels</dc:creator>
  <cp:lastModifiedBy>Robin Kingham</cp:lastModifiedBy>
  <cp:revision>9</cp:revision>
  <dcterms:created xsi:type="dcterms:W3CDTF">2018-01-25T11:26:00Z</dcterms:created>
  <dcterms:modified xsi:type="dcterms:W3CDTF">2018-02-15T11:37:00Z</dcterms:modified>
</cp:coreProperties>
</file>