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1C" w:rsidRDefault="00D46032">
      <w:pPr>
        <w:rPr>
          <w:rFonts w:ascii="Courier New" w:hAnsi="Courier New" w:cs="Courier New"/>
          <w:b/>
          <w:sz w:val="24"/>
          <w:szCs w:val="24"/>
          <w:u w:val="single"/>
        </w:rPr>
      </w:pPr>
      <w:bookmarkStart w:id="0" w:name="_GoBack"/>
      <w:bookmarkEnd w:id="0"/>
      <w:r>
        <w:rPr>
          <w:rFonts w:ascii="Courier New" w:hAnsi="Courier New" w:cs="Courier New"/>
          <w:b/>
          <w:sz w:val="24"/>
          <w:szCs w:val="24"/>
          <w:u w:val="single"/>
        </w:rPr>
        <w:t>TRADING LAW BULLETIN NO. 10</w:t>
      </w:r>
      <w:r w:rsidR="00D00280">
        <w:rPr>
          <w:rFonts w:ascii="Courier New" w:hAnsi="Courier New" w:cs="Courier New"/>
          <w:b/>
          <w:sz w:val="24"/>
          <w:szCs w:val="24"/>
          <w:u w:val="single"/>
        </w:rPr>
        <w:t>1</w:t>
      </w:r>
      <w:r>
        <w:rPr>
          <w:rFonts w:ascii="Courier New" w:hAnsi="Courier New" w:cs="Courier New"/>
          <w:b/>
          <w:sz w:val="24"/>
          <w:szCs w:val="24"/>
          <w:u w:val="single"/>
        </w:rPr>
        <w:t xml:space="preserve"> JUNE 2019</w:t>
      </w:r>
    </w:p>
    <w:p w:rsidR="005E302D" w:rsidRDefault="005E302D">
      <w:pPr>
        <w:rPr>
          <w:rFonts w:ascii="Courier New" w:hAnsi="Courier New" w:cs="Courier New"/>
          <w:b/>
          <w:sz w:val="24"/>
          <w:szCs w:val="24"/>
          <w:u w:val="single"/>
        </w:rPr>
      </w:pPr>
    </w:p>
    <w:p w:rsidR="003C0080" w:rsidRDefault="003C0080"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Easements</w:t>
      </w:r>
      <w:r>
        <w:rPr>
          <w:rFonts w:ascii="Courier New" w:hAnsi="Courier New" w:cs="Courier New"/>
          <w:sz w:val="24"/>
          <w:szCs w:val="24"/>
        </w:rPr>
        <w:t xml:space="preserve">.  The Upper Tribunal has held that </w:t>
      </w:r>
      <w:r w:rsidR="00D00280">
        <w:rPr>
          <w:rFonts w:ascii="Courier New" w:hAnsi="Courier New" w:cs="Courier New"/>
          <w:sz w:val="24"/>
          <w:szCs w:val="24"/>
        </w:rPr>
        <w:t xml:space="preserve">a </w:t>
      </w:r>
      <w:r>
        <w:rPr>
          <w:rFonts w:ascii="Courier New" w:hAnsi="Courier New" w:cs="Courier New"/>
          <w:sz w:val="24"/>
          <w:szCs w:val="24"/>
        </w:rPr>
        <w:t>right of access to a parking space and a right to park were implied as easements into a mortgage but, in that particular case, no equitable easement arose (</w:t>
      </w:r>
      <w:r>
        <w:rPr>
          <w:rFonts w:ascii="Courier New" w:hAnsi="Courier New" w:cs="Courier New"/>
          <w:sz w:val="24"/>
          <w:szCs w:val="24"/>
          <w:u w:val="single"/>
        </w:rPr>
        <w:t>Taurusbuild Limited v. McQue</w:t>
      </w:r>
      <w:r>
        <w:rPr>
          <w:rFonts w:ascii="Courier New" w:hAnsi="Courier New" w:cs="Courier New"/>
          <w:sz w:val="24"/>
          <w:szCs w:val="24"/>
        </w:rPr>
        <w:t xml:space="preserve"> [2019] UKUT 81 (LC)).</w:t>
      </w:r>
    </w:p>
    <w:p w:rsidR="003C0080" w:rsidRDefault="003C0080" w:rsidP="005E302D">
      <w:pPr>
        <w:spacing w:after="0" w:line="480" w:lineRule="auto"/>
        <w:jc w:val="both"/>
        <w:rPr>
          <w:rFonts w:ascii="Courier New" w:hAnsi="Courier New" w:cs="Courier New"/>
          <w:sz w:val="24"/>
          <w:szCs w:val="24"/>
        </w:rPr>
      </w:pPr>
    </w:p>
    <w:p w:rsidR="003C0080" w:rsidRDefault="003C0080"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ISDA</w:t>
      </w:r>
      <w:r>
        <w:rPr>
          <w:rFonts w:ascii="Courier New" w:hAnsi="Courier New" w:cs="Courier New"/>
          <w:sz w:val="24"/>
          <w:szCs w:val="24"/>
        </w:rPr>
        <w:t>.  For the purposes of credit support obligations the interest rate had fallen below zero.  The Court of Appeal upheld a decision that the Credit Support Annex did not contemplate accounting for negative interest (</w:t>
      </w:r>
      <w:r>
        <w:rPr>
          <w:rFonts w:ascii="Courier New" w:hAnsi="Courier New" w:cs="Courier New"/>
          <w:sz w:val="24"/>
          <w:szCs w:val="24"/>
          <w:u w:val="single"/>
        </w:rPr>
        <w:t>Netherlands v. Deutsche Bank AG</w:t>
      </w:r>
      <w:r>
        <w:rPr>
          <w:rFonts w:ascii="Courier New" w:hAnsi="Courier New" w:cs="Courier New"/>
          <w:sz w:val="24"/>
          <w:szCs w:val="24"/>
        </w:rPr>
        <w:t xml:space="preserve"> [2019] EWCA Civ 771).</w:t>
      </w:r>
    </w:p>
    <w:p w:rsidR="003C0080" w:rsidRDefault="003C0080" w:rsidP="005E302D">
      <w:pPr>
        <w:spacing w:after="0" w:line="480" w:lineRule="auto"/>
        <w:jc w:val="both"/>
        <w:rPr>
          <w:rFonts w:ascii="Courier New" w:hAnsi="Courier New" w:cs="Courier New"/>
          <w:sz w:val="24"/>
          <w:szCs w:val="24"/>
        </w:rPr>
      </w:pPr>
    </w:p>
    <w:p w:rsidR="003C0080" w:rsidRDefault="003C0080"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ISDA</w:t>
      </w:r>
      <w:r>
        <w:rPr>
          <w:rFonts w:ascii="Courier New" w:hAnsi="Courier New" w:cs="Courier New"/>
          <w:sz w:val="24"/>
          <w:szCs w:val="24"/>
        </w:rPr>
        <w:t>.  The Court of Appeal have held that the English Court had jurisdiction in respect of a claim by a bank for declaratory relief concerning a company’s obligations under an interest rate swap with an English jurisdiction clause.  This was notwithstanding that the lending relationship included an Italian jurisdiction clause in the financing agreement (</w:t>
      </w:r>
      <w:r>
        <w:rPr>
          <w:rFonts w:ascii="Courier New" w:hAnsi="Courier New" w:cs="Courier New"/>
          <w:sz w:val="24"/>
          <w:szCs w:val="24"/>
          <w:u w:val="single"/>
        </w:rPr>
        <w:t>BNP Paribas SA v. Trattanento</w:t>
      </w:r>
      <w:r>
        <w:rPr>
          <w:rFonts w:ascii="Courier New" w:hAnsi="Courier New" w:cs="Courier New"/>
          <w:sz w:val="24"/>
          <w:szCs w:val="24"/>
        </w:rPr>
        <w:t xml:space="preserve"> [2019] EWCA Civ 768).</w:t>
      </w:r>
    </w:p>
    <w:p w:rsidR="003C0080" w:rsidRDefault="003C0080" w:rsidP="005E302D">
      <w:pPr>
        <w:spacing w:after="0" w:line="480" w:lineRule="auto"/>
        <w:jc w:val="both"/>
        <w:rPr>
          <w:rFonts w:ascii="Courier New" w:hAnsi="Courier New" w:cs="Courier New"/>
          <w:sz w:val="24"/>
          <w:szCs w:val="24"/>
        </w:rPr>
      </w:pPr>
    </w:p>
    <w:p w:rsidR="003C0080" w:rsidRDefault="003C0080"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Secret Commission</w:t>
      </w:r>
      <w:r>
        <w:rPr>
          <w:rFonts w:ascii="Courier New" w:hAnsi="Courier New" w:cs="Courier New"/>
          <w:sz w:val="24"/>
          <w:szCs w:val="24"/>
        </w:rPr>
        <w:t xml:space="preserve">.  </w:t>
      </w:r>
      <w:r w:rsidR="00BA5CFA">
        <w:rPr>
          <w:rFonts w:ascii="Courier New" w:hAnsi="Courier New" w:cs="Courier New"/>
          <w:sz w:val="24"/>
          <w:szCs w:val="24"/>
        </w:rPr>
        <w:t xml:space="preserve">A County Court has held that a broker used by a borrower was not an agent and, in </w:t>
      </w:r>
      <w:r w:rsidR="008742A0">
        <w:rPr>
          <w:rFonts w:ascii="Courier New" w:hAnsi="Courier New" w:cs="Courier New"/>
          <w:sz w:val="24"/>
          <w:szCs w:val="24"/>
        </w:rPr>
        <w:t>that</w:t>
      </w:r>
      <w:r w:rsidR="00BA5CFA">
        <w:rPr>
          <w:rFonts w:ascii="Courier New" w:hAnsi="Courier New" w:cs="Courier New"/>
          <w:sz w:val="24"/>
          <w:szCs w:val="24"/>
        </w:rPr>
        <w:t xml:space="preserve"> was wrong, there was no evidence justifying the conclusion either directly or by inference that there was a fiduciary relationship.  </w:t>
      </w:r>
      <w:r w:rsidR="00BA5CFA">
        <w:rPr>
          <w:rFonts w:ascii="Courier New" w:hAnsi="Courier New" w:cs="Courier New"/>
          <w:sz w:val="24"/>
          <w:szCs w:val="24"/>
        </w:rPr>
        <w:lastRenderedPageBreak/>
        <w:t>Therefore, even if there had been a secret or half-secret commission the borrower’s argument would be dismissed.  The Court also dismissed an unfair relationship claim.  The Defendants had satisfied the Court on the totality of the evidence that the transaction was fair</w:t>
      </w:r>
      <w:r w:rsidR="00D00280">
        <w:rPr>
          <w:rFonts w:ascii="Courier New" w:hAnsi="Courier New" w:cs="Courier New"/>
          <w:sz w:val="24"/>
          <w:szCs w:val="24"/>
        </w:rPr>
        <w:t>.</w:t>
      </w:r>
      <w:r w:rsidR="00D00280" w:rsidRPr="00D00280">
        <w:rPr>
          <w:rFonts w:ascii="Courier New" w:hAnsi="Courier New" w:cs="Courier New"/>
          <w:sz w:val="24"/>
          <w:szCs w:val="24"/>
        </w:rPr>
        <w:t xml:space="preserve"> </w:t>
      </w:r>
      <w:r w:rsidR="00D00280">
        <w:rPr>
          <w:rFonts w:ascii="Courier New" w:hAnsi="Courier New" w:cs="Courier New"/>
          <w:sz w:val="24"/>
          <w:szCs w:val="24"/>
        </w:rPr>
        <w:t>Permission to appeal was refused</w:t>
      </w:r>
      <w:r w:rsidR="00BA5CFA">
        <w:rPr>
          <w:rFonts w:ascii="Courier New" w:hAnsi="Courier New" w:cs="Courier New"/>
          <w:sz w:val="24"/>
          <w:szCs w:val="24"/>
        </w:rPr>
        <w:t xml:space="preserve"> (</w:t>
      </w:r>
      <w:r w:rsidR="00BA5CFA">
        <w:rPr>
          <w:rFonts w:ascii="Courier New" w:hAnsi="Courier New" w:cs="Courier New"/>
          <w:sz w:val="24"/>
          <w:szCs w:val="24"/>
          <w:u w:val="single"/>
        </w:rPr>
        <w:t>Scott v. Commercial First</w:t>
      </w:r>
      <w:r w:rsidR="00BA5CFA">
        <w:rPr>
          <w:rFonts w:ascii="Courier New" w:hAnsi="Courier New" w:cs="Courier New"/>
          <w:sz w:val="24"/>
          <w:szCs w:val="24"/>
        </w:rPr>
        <w:t>, 28</w:t>
      </w:r>
      <w:r w:rsidR="00BA5CFA" w:rsidRPr="00BA5CFA">
        <w:rPr>
          <w:rFonts w:ascii="Courier New" w:hAnsi="Courier New" w:cs="Courier New"/>
          <w:sz w:val="24"/>
          <w:szCs w:val="24"/>
          <w:vertAlign w:val="superscript"/>
        </w:rPr>
        <w:t>th</w:t>
      </w:r>
      <w:r w:rsidR="00BA5CFA">
        <w:rPr>
          <w:rFonts w:ascii="Courier New" w:hAnsi="Courier New" w:cs="Courier New"/>
          <w:sz w:val="24"/>
          <w:szCs w:val="24"/>
        </w:rPr>
        <w:t xml:space="preserve"> March 201</w:t>
      </w:r>
      <w:r w:rsidR="008742A0">
        <w:rPr>
          <w:rFonts w:ascii="Courier New" w:hAnsi="Courier New" w:cs="Courier New"/>
          <w:sz w:val="24"/>
          <w:szCs w:val="24"/>
        </w:rPr>
        <w:t>8</w:t>
      </w:r>
      <w:r w:rsidR="00BA5CFA">
        <w:rPr>
          <w:rFonts w:ascii="Courier New" w:hAnsi="Courier New" w:cs="Courier New"/>
          <w:sz w:val="24"/>
          <w:szCs w:val="24"/>
        </w:rPr>
        <w:t>).</w:t>
      </w:r>
      <w:r w:rsidR="008742A0">
        <w:rPr>
          <w:rFonts w:ascii="Courier New" w:hAnsi="Courier New" w:cs="Courier New"/>
          <w:sz w:val="24"/>
          <w:szCs w:val="24"/>
        </w:rPr>
        <w:t xml:space="preserve">  </w:t>
      </w:r>
    </w:p>
    <w:p w:rsidR="00BA5CFA" w:rsidRDefault="00BA5CFA" w:rsidP="005E302D">
      <w:pPr>
        <w:spacing w:after="0" w:line="480" w:lineRule="auto"/>
        <w:jc w:val="both"/>
        <w:rPr>
          <w:rFonts w:ascii="Courier New" w:hAnsi="Courier New" w:cs="Courier New"/>
          <w:sz w:val="24"/>
          <w:szCs w:val="24"/>
        </w:rPr>
      </w:pPr>
    </w:p>
    <w:p w:rsidR="00BA5CFA" w:rsidRDefault="00BA5CFA"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Financial Penalty</w:t>
      </w:r>
      <w:r>
        <w:rPr>
          <w:rFonts w:ascii="Courier New" w:hAnsi="Courier New" w:cs="Courier New"/>
          <w:sz w:val="24"/>
          <w:szCs w:val="24"/>
        </w:rPr>
        <w:t xml:space="preserve">.  The Upper Tribunal has confirmed </w:t>
      </w:r>
      <w:r w:rsidR="00D00280">
        <w:rPr>
          <w:rFonts w:ascii="Courier New" w:hAnsi="Courier New" w:cs="Courier New"/>
          <w:sz w:val="24"/>
          <w:szCs w:val="24"/>
        </w:rPr>
        <w:t xml:space="preserve">an </w:t>
      </w:r>
      <w:r>
        <w:rPr>
          <w:rFonts w:ascii="Courier New" w:hAnsi="Courier New" w:cs="Courier New"/>
          <w:sz w:val="24"/>
          <w:szCs w:val="24"/>
        </w:rPr>
        <w:t xml:space="preserve">FCA </w:t>
      </w:r>
      <w:r w:rsidR="00D00280">
        <w:rPr>
          <w:rFonts w:ascii="Courier New" w:hAnsi="Courier New" w:cs="Courier New"/>
          <w:sz w:val="24"/>
          <w:szCs w:val="24"/>
        </w:rPr>
        <w:t>decision</w:t>
      </w:r>
      <w:r>
        <w:rPr>
          <w:rFonts w:ascii="Courier New" w:hAnsi="Courier New" w:cs="Courier New"/>
          <w:sz w:val="24"/>
          <w:szCs w:val="24"/>
        </w:rPr>
        <w:t xml:space="preserve"> to impose a penalty of £409,300 for breach of principal 3 by a failure to take reasonable care to organise and control affairs responsibly and effectively with risk manage</w:t>
      </w:r>
      <w:r w:rsidR="00D00280">
        <w:rPr>
          <w:rFonts w:ascii="Courier New" w:hAnsi="Courier New" w:cs="Courier New"/>
          <w:sz w:val="24"/>
          <w:szCs w:val="24"/>
        </w:rPr>
        <w:t>ment</w:t>
      </w:r>
      <w:r>
        <w:rPr>
          <w:rFonts w:ascii="Courier New" w:hAnsi="Courier New" w:cs="Courier New"/>
          <w:sz w:val="24"/>
          <w:szCs w:val="24"/>
        </w:rPr>
        <w:t xml:space="preserve"> systems in relation to the detection and reporting of potential instances of market abuse (</w:t>
      </w:r>
      <w:r>
        <w:rPr>
          <w:rFonts w:ascii="Courier New" w:hAnsi="Courier New" w:cs="Courier New"/>
          <w:sz w:val="24"/>
          <w:szCs w:val="24"/>
          <w:u w:val="single"/>
        </w:rPr>
        <w:t>Linear Investments Limited v. FCA</w:t>
      </w:r>
      <w:r>
        <w:rPr>
          <w:rFonts w:ascii="Courier New" w:hAnsi="Courier New" w:cs="Courier New"/>
          <w:sz w:val="24"/>
          <w:szCs w:val="24"/>
        </w:rPr>
        <w:t xml:space="preserve"> [2019] UKUT 115 (TCC)).</w:t>
      </w:r>
    </w:p>
    <w:p w:rsidR="00BA5CFA" w:rsidRDefault="00BA5CFA" w:rsidP="005E302D">
      <w:pPr>
        <w:spacing w:after="0" w:line="480" w:lineRule="auto"/>
        <w:jc w:val="both"/>
        <w:rPr>
          <w:rFonts w:ascii="Courier New" w:hAnsi="Courier New" w:cs="Courier New"/>
          <w:sz w:val="24"/>
          <w:szCs w:val="24"/>
        </w:rPr>
      </w:pPr>
    </w:p>
    <w:p w:rsidR="00BA5CFA" w:rsidRDefault="00BA5CFA"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Mortgages</w:t>
      </w:r>
      <w:r>
        <w:rPr>
          <w:rFonts w:ascii="Courier New" w:hAnsi="Courier New" w:cs="Courier New"/>
          <w:sz w:val="24"/>
          <w:szCs w:val="24"/>
        </w:rPr>
        <w:t xml:space="preserve">.  Claimants applied for permission to re-amend the Particulars of Claim.  They owned properties on trust for another company which had borrowed money from the first Defendant.  Mortgages were created over properties and the lender obtained a default judgment.  Proceedings were brought seeking to redeem the mortgages.  The amendment sought to allege that the mortgages had been rescinded as they were entered into as a result of fraud.  Permission was refused.  The Claimant sought to put forward serious allegations on an entirely different basis and had repeatedly told the Court </w:t>
      </w:r>
      <w:r>
        <w:rPr>
          <w:rFonts w:ascii="Courier New" w:hAnsi="Courier New" w:cs="Courier New"/>
          <w:sz w:val="24"/>
          <w:szCs w:val="24"/>
        </w:rPr>
        <w:lastRenderedPageBreak/>
        <w:t>that they were not seeking to rescind (</w:t>
      </w:r>
      <w:r>
        <w:rPr>
          <w:rFonts w:ascii="Courier New" w:hAnsi="Courier New" w:cs="Courier New"/>
          <w:sz w:val="24"/>
          <w:szCs w:val="24"/>
          <w:u w:val="single"/>
        </w:rPr>
        <w:t>Rose v. Creativity</w:t>
      </w:r>
      <w:r w:rsidR="00914BBE">
        <w:rPr>
          <w:rFonts w:ascii="Courier New" w:hAnsi="Courier New" w:cs="Courier New"/>
          <w:sz w:val="24"/>
          <w:szCs w:val="24"/>
          <w:u w:val="single"/>
        </w:rPr>
        <w:t>etc Limited</w:t>
      </w:r>
      <w:r w:rsidR="00914BBE">
        <w:rPr>
          <w:rFonts w:ascii="Courier New" w:hAnsi="Courier New" w:cs="Courier New"/>
          <w:sz w:val="24"/>
          <w:szCs w:val="24"/>
        </w:rPr>
        <w:t xml:space="preserve"> [2019] EWHC 1043 (Ch)).</w:t>
      </w:r>
    </w:p>
    <w:p w:rsidR="00914BBE" w:rsidRDefault="00914BBE" w:rsidP="005E302D">
      <w:pPr>
        <w:spacing w:after="0" w:line="480" w:lineRule="auto"/>
        <w:jc w:val="both"/>
        <w:rPr>
          <w:rFonts w:ascii="Courier New" w:hAnsi="Courier New" w:cs="Courier New"/>
          <w:sz w:val="24"/>
          <w:szCs w:val="24"/>
        </w:rPr>
      </w:pPr>
    </w:p>
    <w:p w:rsidR="00914BBE" w:rsidRDefault="00914BBE"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Jurisdiction</w:t>
      </w:r>
      <w:r>
        <w:rPr>
          <w:rFonts w:ascii="Courier New" w:hAnsi="Courier New" w:cs="Courier New"/>
          <w:sz w:val="24"/>
          <w:szCs w:val="24"/>
        </w:rPr>
        <w:t>.  The Claimant sued an online trading platform because it has wrongfully blocked and terminated her account.  The agreement provided that the Courts of Cyprus were to have exclusive jurisdiction but the Claimant said that was ineffective because she was acting as a consumer within Section 4 of Brussells (</w:t>
      </w:r>
      <w:r w:rsidRPr="00914BBE">
        <w:rPr>
          <w:rFonts w:ascii="Courier New" w:hAnsi="Courier New" w:cs="Courier New"/>
          <w:sz w:val="24"/>
          <w:szCs w:val="24"/>
        </w:rPr>
        <w:t>Recast</w:t>
      </w:r>
      <w:r>
        <w:rPr>
          <w:rFonts w:ascii="Courier New" w:hAnsi="Courier New" w:cs="Courier New"/>
          <w:sz w:val="24"/>
          <w:szCs w:val="24"/>
        </w:rPr>
        <w:t>).  The issue was whether investing private wealth for gain in the form of buying and selling foreign currency is by its nature a business activity.  There was a divergence of opinion between previous decisions by English and Greek Courts.  The Court held that wealthy consumers are consumers nonetheless and the amounts involved in the case did not mean that the Claimant was not a consumer (</w:t>
      </w:r>
      <w:r>
        <w:rPr>
          <w:rFonts w:ascii="Courier New" w:hAnsi="Courier New" w:cs="Courier New"/>
          <w:sz w:val="24"/>
          <w:szCs w:val="24"/>
          <w:u w:val="single"/>
        </w:rPr>
        <w:t>Ang v. Reliantco Investments Limited</w:t>
      </w:r>
      <w:r>
        <w:rPr>
          <w:rFonts w:ascii="Courier New" w:hAnsi="Courier New" w:cs="Courier New"/>
          <w:sz w:val="24"/>
          <w:szCs w:val="24"/>
        </w:rPr>
        <w:t xml:space="preserve"> [2019] EWHC 879 (Comm)).</w:t>
      </w:r>
    </w:p>
    <w:p w:rsidR="00914BBE" w:rsidRDefault="00914BBE" w:rsidP="005E302D">
      <w:pPr>
        <w:spacing w:after="0" w:line="480" w:lineRule="auto"/>
        <w:jc w:val="both"/>
        <w:rPr>
          <w:rFonts w:ascii="Courier New" w:hAnsi="Courier New" w:cs="Courier New"/>
          <w:sz w:val="24"/>
          <w:szCs w:val="24"/>
        </w:rPr>
      </w:pPr>
    </w:p>
    <w:p w:rsidR="00914BBE" w:rsidRPr="00914BBE" w:rsidRDefault="00914BBE"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Shared Appreciation Mortgages</w:t>
      </w:r>
      <w:r>
        <w:rPr>
          <w:rFonts w:ascii="Courier New" w:hAnsi="Courier New" w:cs="Courier New"/>
          <w:sz w:val="24"/>
          <w:szCs w:val="24"/>
        </w:rPr>
        <w:t xml:space="preserve">.  In 2009 litigation was commenced in </w:t>
      </w:r>
      <w:r w:rsidR="008742A0">
        <w:rPr>
          <w:rFonts w:ascii="Courier New" w:hAnsi="Courier New" w:cs="Courier New"/>
          <w:sz w:val="24"/>
          <w:szCs w:val="24"/>
        </w:rPr>
        <w:t>r</w:t>
      </w:r>
      <w:r>
        <w:rPr>
          <w:rFonts w:ascii="Courier New" w:hAnsi="Courier New" w:cs="Courier New"/>
          <w:sz w:val="24"/>
          <w:szCs w:val="24"/>
        </w:rPr>
        <w:t>e</w:t>
      </w:r>
      <w:r w:rsidR="008742A0">
        <w:rPr>
          <w:rFonts w:ascii="Courier New" w:hAnsi="Courier New" w:cs="Courier New"/>
          <w:sz w:val="24"/>
          <w:szCs w:val="24"/>
        </w:rPr>
        <w:t>sp</w:t>
      </w:r>
      <w:r>
        <w:rPr>
          <w:rFonts w:ascii="Courier New" w:hAnsi="Courier New" w:cs="Courier New"/>
          <w:sz w:val="24"/>
          <w:szCs w:val="24"/>
        </w:rPr>
        <w:t xml:space="preserve">ect of shared appreciation mortgages.  This included unfair relationship claims and claims under the Unfair Terms Regulations.  The litigation was conducted under a group litigation order.  Each Claimant contributed £5,000 to a fighting fund.  The action was settled by a withdrawal of the claims with no order as to costs.  In the current action </w:t>
      </w:r>
      <w:r w:rsidR="00D00280">
        <w:rPr>
          <w:rFonts w:ascii="Courier New" w:hAnsi="Courier New" w:cs="Courier New"/>
          <w:sz w:val="24"/>
          <w:szCs w:val="24"/>
        </w:rPr>
        <w:t xml:space="preserve">the </w:t>
      </w:r>
      <w:r>
        <w:rPr>
          <w:rFonts w:ascii="Courier New" w:hAnsi="Courier New" w:cs="Courier New"/>
          <w:sz w:val="24"/>
          <w:szCs w:val="24"/>
        </w:rPr>
        <w:t xml:space="preserve">Claimants sued their former solicitors who brought in Counsel as third party.  The High Court held that there was no </w:t>
      </w:r>
      <w:r>
        <w:rPr>
          <w:rFonts w:ascii="Courier New" w:hAnsi="Courier New" w:cs="Courier New"/>
          <w:sz w:val="24"/>
          <w:szCs w:val="24"/>
        </w:rPr>
        <w:lastRenderedPageBreak/>
        <w:t>realistic prospect</w:t>
      </w:r>
      <w:r w:rsidR="008742A0">
        <w:rPr>
          <w:rFonts w:ascii="Courier New" w:hAnsi="Courier New" w:cs="Courier New"/>
          <w:sz w:val="24"/>
          <w:szCs w:val="24"/>
        </w:rPr>
        <w:t xml:space="preserve"> of success</w:t>
      </w:r>
      <w:r>
        <w:rPr>
          <w:rFonts w:ascii="Courier New" w:hAnsi="Courier New" w:cs="Courier New"/>
          <w:sz w:val="24"/>
          <w:szCs w:val="24"/>
        </w:rPr>
        <w:t xml:space="preserve"> on the facts pleaded </w:t>
      </w:r>
      <w:r w:rsidR="008742A0">
        <w:rPr>
          <w:rFonts w:ascii="Courier New" w:hAnsi="Courier New" w:cs="Courier New"/>
          <w:sz w:val="24"/>
          <w:szCs w:val="24"/>
        </w:rPr>
        <w:t>tha</w:t>
      </w:r>
      <w:r>
        <w:rPr>
          <w:rFonts w:ascii="Courier New" w:hAnsi="Courier New" w:cs="Courier New"/>
          <w:sz w:val="24"/>
          <w:szCs w:val="24"/>
        </w:rPr>
        <w:t>t Counsel assumed a general duty to advise on funding.  An opportunity was given to the solicitors to seek permission to amend but this was declined and the additional claim was struck out (</w:t>
      </w:r>
      <w:r>
        <w:rPr>
          <w:rFonts w:ascii="Courier New" w:hAnsi="Courier New" w:cs="Courier New"/>
          <w:sz w:val="24"/>
          <w:szCs w:val="24"/>
          <w:u w:val="single"/>
        </w:rPr>
        <w:t>Andrews v. Messer Beg Limited</w:t>
      </w:r>
      <w:r>
        <w:rPr>
          <w:rFonts w:ascii="Courier New" w:hAnsi="Courier New" w:cs="Courier New"/>
          <w:sz w:val="24"/>
          <w:szCs w:val="24"/>
        </w:rPr>
        <w:t xml:space="preserve"> [2019] EWHC 911 (Ch)).</w:t>
      </w:r>
    </w:p>
    <w:p w:rsidR="00914BBE" w:rsidRDefault="00914BBE" w:rsidP="005E302D">
      <w:pPr>
        <w:spacing w:after="0" w:line="480" w:lineRule="auto"/>
        <w:jc w:val="both"/>
        <w:rPr>
          <w:rFonts w:ascii="Courier New" w:hAnsi="Courier New" w:cs="Courier New"/>
          <w:sz w:val="24"/>
          <w:szCs w:val="24"/>
        </w:rPr>
      </w:pPr>
    </w:p>
    <w:p w:rsidR="00914BBE" w:rsidRDefault="00914BBE"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Accelerated Repayment Clause</w:t>
      </w:r>
      <w:r>
        <w:rPr>
          <w:rFonts w:ascii="Courier New" w:hAnsi="Courier New" w:cs="Courier New"/>
          <w:sz w:val="24"/>
          <w:szCs w:val="24"/>
        </w:rPr>
        <w:t xml:space="preserve">.  The ECJ has held that the Unfair Terms Directive must be interpreted as precluding an accelerated repayment clause in a mortgage loan contract that has been found to be unfair from being maintained in part, with the elements which make it unfair removed, where the removal of those elements would be tantamount to revising the content of that clause by altering its substance.  </w:t>
      </w:r>
      <w:r w:rsidR="008742A0">
        <w:rPr>
          <w:rFonts w:ascii="Courier New" w:hAnsi="Courier New" w:cs="Courier New"/>
          <w:sz w:val="24"/>
          <w:szCs w:val="24"/>
        </w:rPr>
        <w:t>The</w:t>
      </w:r>
      <w:r>
        <w:rPr>
          <w:rFonts w:ascii="Courier New" w:hAnsi="Courier New" w:cs="Courier New"/>
          <w:sz w:val="24"/>
          <w:szCs w:val="24"/>
        </w:rPr>
        <w:t xml:space="preserve"> Directive does not preclude a national Court for compensating for the invalidity of such an unfair term by replacing that term with new wording provided that the mortgage loan contract cannot continue in existence if that unfair term is removed (</w:t>
      </w:r>
      <w:r w:rsidRPr="00914BBE">
        <w:rPr>
          <w:rFonts w:ascii="Courier New" w:hAnsi="Courier New" w:cs="Courier New"/>
          <w:sz w:val="24"/>
          <w:szCs w:val="24"/>
          <w:u w:val="single"/>
        </w:rPr>
        <w:t>Abanca v. Mendoza</w:t>
      </w:r>
      <w:r>
        <w:rPr>
          <w:rFonts w:ascii="Courier New" w:hAnsi="Courier New" w:cs="Courier New"/>
          <w:sz w:val="24"/>
          <w:szCs w:val="24"/>
        </w:rPr>
        <w:t xml:space="preserve"> (Case C-70/17)</w:t>
      </w:r>
      <w:r w:rsidR="005425CE">
        <w:rPr>
          <w:rFonts w:ascii="Courier New" w:hAnsi="Courier New" w:cs="Courier New"/>
          <w:sz w:val="24"/>
          <w:szCs w:val="24"/>
        </w:rPr>
        <w:t>)</w:t>
      </w:r>
      <w:r>
        <w:rPr>
          <w:rFonts w:ascii="Courier New" w:hAnsi="Courier New" w:cs="Courier New"/>
          <w:sz w:val="24"/>
          <w:szCs w:val="24"/>
        </w:rPr>
        <w:t>.</w:t>
      </w:r>
    </w:p>
    <w:p w:rsidR="00914BBE" w:rsidRDefault="00914BBE" w:rsidP="005E302D">
      <w:pPr>
        <w:spacing w:after="0" w:line="480" w:lineRule="auto"/>
        <w:jc w:val="both"/>
        <w:rPr>
          <w:rFonts w:ascii="Courier New" w:hAnsi="Courier New" w:cs="Courier New"/>
          <w:sz w:val="24"/>
          <w:szCs w:val="24"/>
        </w:rPr>
      </w:pPr>
    </w:p>
    <w:p w:rsidR="005425CE" w:rsidRDefault="00914BBE"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Unfair Terms</w:t>
      </w:r>
      <w:r>
        <w:rPr>
          <w:rFonts w:ascii="Courier New" w:hAnsi="Courier New" w:cs="Courier New"/>
          <w:sz w:val="24"/>
          <w:szCs w:val="24"/>
        </w:rPr>
        <w:t xml:space="preserve">.  An Advocate General has given an opinion in respect of terms contained in a foreign currency loan agreement.  The opinion was that neither Article 4(2) nor Article 5 of the Directive should be interpreted as meaning that, in a loan contract concluded with a consumer, the requirement that terms should be drafted in plain and </w:t>
      </w:r>
      <w:r>
        <w:rPr>
          <w:rFonts w:ascii="Courier New" w:hAnsi="Courier New" w:cs="Courier New"/>
          <w:sz w:val="24"/>
          <w:szCs w:val="24"/>
        </w:rPr>
        <w:lastRenderedPageBreak/>
        <w:t xml:space="preserve">intelligible language requires that each price </w:t>
      </w:r>
      <w:r w:rsidR="005425CE">
        <w:rPr>
          <w:rFonts w:ascii="Courier New" w:hAnsi="Courier New" w:cs="Courier New"/>
          <w:sz w:val="24"/>
          <w:szCs w:val="24"/>
        </w:rPr>
        <w:t>clause mentions the specific services provided in return.  In such circumstances, however, it is necessary that the nature of services so provided can be gleaned or inferred from the contract itself.  In addition, Article 3(1) does not mean that the fact that a price clause does not mention the specific services provided in return creates a significant imbalance in the parties’ rights and obligations.  If, however, it is not possible to determine the services provided in return for the consideration supplied, then such a term may be declared to be unfair (</w:t>
      </w:r>
      <w:r w:rsidR="005425CE">
        <w:rPr>
          <w:rFonts w:ascii="Courier New" w:hAnsi="Courier New" w:cs="Courier New"/>
          <w:sz w:val="24"/>
          <w:szCs w:val="24"/>
          <w:u w:val="single"/>
        </w:rPr>
        <w:t>CIB Bank v. Kis</w:t>
      </w:r>
      <w:r w:rsidR="005425CE">
        <w:rPr>
          <w:rFonts w:ascii="Courier New" w:hAnsi="Courier New" w:cs="Courier New"/>
          <w:sz w:val="24"/>
          <w:szCs w:val="24"/>
        </w:rPr>
        <w:t xml:space="preserve"> (Case C-621/17)).</w:t>
      </w:r>
    </w:p>
    <w:p w:rsidR="005425CE" w:rsidRDefault="005425CE" w:rsidP="005E302D">
      <w:pPr>
        <w:spacing w:after="0" w:line="480" w:lineRule="auto"/>
        <w:jc w:val="both"/>
        <w:rPr>
          <w:rFonts w:ascii="Courier New" w:hAnsi="Courier New" w:cs="Courier New"/>
          <w:sz w:val="24"/>
          <w:szCs w:val="24"/>
        </w:rPr>
      </w:pPr>
    </w:p>
    <w:p w:rsidR="005425CE" w:rsidRDefault="005425CE"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Illegal Moneylending</w:t>
      </w:r>
      <w:r>
        <w:rPr>
          <w:rFonts w:ascii="Courier New" w:hAnsi="Courier New" w:cs="Courier New"/>
          <w:sz w:val="24"/>
          <w:szCs w:val="24"/>
        </w:rPr>
        <w:t>.  The Court of Appeal (Criminal Division) have upheld a sentence of three-and-a-years’ imprisonment for unlawful moneylending.  In addition a sentence of 15 months imprisonment for contempt of Court was not excessive (</w:t>
      </w:r>
      <w:r>
        <w:rPr>
          <w:rFonts w:ascii="Courier New" w:hAnsi="Courier New" w:cs="Courier New"/>
          <w:sz w:val="24"/>
          <w:szCs w:val="24"/>
          <w:u w:val="single"/>
        </w:rPr>
        <w:t>R v. Gopee</w:t>
      </w:r>
      <w:r>
        <w:rPr>
          <w:rFonts w:ascii="Courier New" w:hAnsi="Courier New" w:cs="Courier New"/>
          <w:sz w:val="24"/>
          <w:szCs w:val="24"/>
        </w:rPr>
        <w:t xml:space="preserve"> [2019] EWCA Crim 601).</w:t>
      </w:r>
    </w:p>
    <w:p w:rsidR="005425CE" w:rsidRDefault="005425CE" w:rsidP="005E302D">
      <w:pPr>
        <w:spacing w:after="0" w:line="480" w:lineRule="auto"/>
        <w:jc w:val="both"/>
        <w:rPr>
          <w:rFonts w:ascii="Courier New" w:hAnsi="Courier New" w:cs="Courier New"/>
          <w:sz w:val="24"/>
          <w:szCs w:val="24"/>
        </w:rPr>
      </w:pPr>
    </w:p>
    <w:p w:rsidR="005425CE" w:rsidRDefault="005425CE"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Mortgages</w:t>
      </w:r>
      <w:r>
        <w:rPr>
          <w:rFonts w:ascii="Courier New" w:hAnsi="Courier New" w:cs="Courier New"/>
          <w:sz w:val="24"/>
          <w:szCs w:val="24"/>
        </w:rPr>
        <w:t>.  A Claimant bought a claim for damages against receivers.  They had been appointed under the Law of Property Act 1925.  The High Court held that they had neither placed themselves in a position of conflict nor had they acted in bad faith when they sold the land to a company connected with the mortgagee.  There was no self-dealing when a Receiver sold to an associate of the mortgagee (</w:t>
      </w:r>
      <w:r>
        <w:rPr>
          <w:rFonts w:ascii="Courier New" w:hAnsi="Courier New" w:cs="Courier New"/>
          <w:sz w:val="24"/>
          <w:szCs w:val="24"/>
          <w:u w:val="single"/>
        </w:rPr>
        <w:t>Devon Commercial Property Limited v. Barnett</w:t>
      </w:r>
      <w:r>
        <w:rPr>
          <w:rFonts w:ascii="Courier New" w:hAnsi="Courier New" w:cs="Courier New"/>
          <w:sz w:val="24"/>
          <w:szCs w:val="24"/>
        </w:rPr>
        <w:t xml:space="preserve"> [2019] EWHC 700 (Ch)).</w:t>
      </w:r>
    </w:p>
    <w:p w:rsidR="005425CE" w:rsidRDefault="008742A0"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lastRenderedPageBreak/>
        <w:t>Notes</w:t>
      </w:r>
      <w:r>
        <w:rPr>
          <w:rFonts w:ascii="Courier New" w:hAnsi="Courier New" w:cs="Courier New"/>
          <w:sz w:val="24"/>
          <w:szCs w:val="24"/>
        </w:rPr>
        <w:t xml:space="preserve">.  The beneficial owner of notices alleged that events of default had occurred.  The High Court relied on a Supreme Court decision in </w:t>
      </w:r>
      <w:r>
        <w:rPr>
          <w:rFonts w:ascii="Courier New" w:hAnsi="Courier New" w:cs="Courier New"/>
          <w:sz w:val="24"/>
          <w:szCs w:val="24"/>
          <w:u w:val="single"/>
        </w:rPr>
        <w:t>Goldman Sachs v. Novo Banca SA</w:t>
      </w:r>
      <w:r>
        <w:rPr>
          <w:rFonts w:ascii="Courier New" w:hAnsi="Courier New" w:cs="Courier New"/>
          <w:sz w:val="24"/>
          <w:szCs w:val="24"/>
        </w:rPr>
        <w:t xml:space="preserve"> [2018] UKSC 34 to conclude that a separate loan had never been transferred from the party which was the original guarantor of the notes to that which was the current guarantor so that no event of default had occurred </w:t>
      </w:r>
      <w:r w:rsidR="00426C60">
        <w:rPr>
          <w:rFonts w:ascii="Courier New" w:hAnsi="Courier New" w:cs="Courier New"/>
          <w:sz w:val="24"/>
          <w:szCs w:val="24"/>
        </w:rPr>
        <w:t>(</w:t>
      </w:r>
      <w:r w:rsidRPr="008742A0">
        <w:rPr>
          <w:rFonts w:ascii="Courier New" w:hAnsi="Courier New" w:cs="Courier New"/>
          <w:sz w:val="24"/>
          <w:szCs w:val="24"/>
          <w:u w:val="single"/>
        </w:rPr>
        <w:t>Winterbook Global v. NB Finance Limited</w:t>
      </w:r>
      <w:r>
        <w:rPr>
          <w:rFonts w:ascii="Courier New" w:hAnsi="Courier New" w:cs="Courier New"/>
          <w:sz w:val="24"/>
          <w:szCs w:val="24"/>
        </w:rPr>
        <w:t xml:space="preserve"> [2019] EWHC 737 (Ch)).</w:t>
      </w:r>
    </w:p>
    <w:p w:rsidR="008742A0" w:rsidRDefault="008742A0" w:rsidP="005E302D">
      <w:pPr>
        <w:spacing w:after="0" w:line="480" w:lineRule="auto"/>
        <w:jc w:val="both"/>
        <w:rPr>
          <w:rFonts w:ascii="Courier New" w:hAnsi="Courier New" w:cs="Courier New"/>
          <w:sz w:val="24"/>
          <w:szCs w:val="24"/>
        </w:rPr>
      </w:pPr>
    </w:p>
    <w:p w:rsidR="008742A0" w:rsidRDefault="008742A0" w:rsidP="005E302D">
      <w:pPr>
        <w:spacing w:after="0" w:line="480" w:lineRule="auto"/>
        <w:jc w:val="both"/>
        <w:rPr>
          <w:rFonts w:ascii="Courier New" w:hAnsi="Courier New" w:cs="Courier New"/>
          <w:sz w:val="24"/>
          <w:szCs w:val="24"/>
        </w:rPr>
      </w:pPr>
      <w:r>
        <w:rPr>
          <w:rFonts w:ascii="Courier New" w:hAnsi="Courier New" w:cs="Courier New"/>
          <w:sz w:val="24"/>
          <w:szCs w:val="24"/>
          <w:u w:val="single"/>
        </w:rPr>
        <w:t>Unauthorised Investment Scheme</w:t>
      </w:r>
      <w:r>
        <w:rPr>
          <w:rFonts w:ascii="Courier New" w:hAnsi="Courier New" w:cs="Courier New"/>
          <w:sz w:val="24"/>
          <w:szCs w:val="24"/>
        </w:rPr>
        <w:t>.  The High Court declared that a business was in breach of Section 19 of FSMA.  It was an unauthorised investment scheme.  The scheme to</w:t>
      </w:r>
      <w:r w:rsidR="00D00280">
        <w:rPr>
          <w:rFonts w:ascii="Courier New" w:hAnsi="Courier New" w:cs="Courier New"/>
          <w:sz w:val="24"/>
          <w:szCs w:val="24"/>
        </w:rPr>
        <w:t xml:space="preserve">ok </w:t>
      </w:r>
      <w:r>
        <w:rPr>
          <w:rFonts w:ascii="Courier New" w:hAnsi="Courier New" w:cs="Courier New"/>
          <w:sz w:val="24"/>
          <w:szCs w:val="24"/>
        </w:rPr>
        <w:t>money from investors of which only a small amount was ever used for trading (</w:t>
      </w:r>
      <w:r w:rsidRPr="008742A0">
        <w:rPr>
          <w:rFonts w:ascii="Courier New" w:hAnsi="Courier New" w:cs="Courier New"/>
          <w:sz w:val="24"/>
          <w:szCs w:val="24"/>
          <w:u w:val="single"/>
        </w:rPr>
        <w:t>FCA v. Xcore Capital Limited</w:t>
      </w:r>
      <w:r w:rsidRPr="00426C60">
        <w:rPr>
          <w:rFonts w:ascii="Courier New" w:hAnsi="Courier New" w:cs="Courier New"/>
          <w:sz w:val="24"/>
          <w:szCs w:val="24"/>
        </w:rPr>
        <w:t>, 14</w:t>
      </w:r>
      <w:r w:rsidRPr="00426C60">
        <w:rPr>
          <w:rFonts w:ascii="Courier New" w:hAnsi="Courier New" w:cs="Courier New"/>
          <w:sz w:val="24"/>
          <w:szCs w:val="24"/>
          <w:vertAlign w:val="superscript"/>
        </w:rPr>
        <w:t>th</w:t>
      </w:r>
      <w:r w:rsidRPr="00426C60">
        <w:rPr>
          <w:rFonts w:ascii="Courier New" w:hAnsi="Courier New" w:cs="Courier New"/>
          <w:sz w:val="24"/>
          <w:szCs w:val="24"/>
        </w:rPr>
        <w:t xml:space="preserve"> May 2019</w:t>
      </w:r>
      <w:r>
        <w:rPr>
          <w:rFonts w:ascii="Courier New" w:hAnsi="Courier New" w:cs="Courier New"/>
          <w:sz w:val="24"/>
          <w:szCs w:val="24"/>
        </w:rPr>
        <w:t>).</w:t>
      </w:r>
    </w:p>
    <w:p w:rsidR="00D46032" w:rsidRDefault="00D46032" w:rsidP="005E302D">
      <w:pPr>
        <w:spacing w:after="0" w:line="480" w:lineRule="auto"/>
        <w:jc w:val="both"/>
        <w:rPr>
          <w:rFonts w:ascii="Courier New" w:hAnsi="Courier New" w:cs="Courier New"/>
          <w:sz w:val="24"/>
          <w:szCs w:val="24"/>
        </w:rPr>
      </w:pPr>
    </w:p>
    <w:p w:rsidR="00D46032" w:rsidRDefault="00D46032" w:rsidP="00D46032">
      <w:pPr>
        <w:rPr>
          <w:rFonts w:ascii="Courier New" w:hAnsi="Courier New" w:cs="Courier New"/>
          <w:b/>
          <w:sz w:val="24"/>
          <w:szCs w:val="24"/>
          <w:u w:val="single"/>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Information Requirements</w:t>
      </w:r>
      <w:r>
        <w:rPr>
          <w:rFonts w:ascii="Courier New" w:hAnsi="Courier New" w:cs="Courier New"/>
          <w:sz w:val="24"/>
          <w:szCs w:val="24"/>
        </w:rPr>
        <w:t>.  The High Court has considered the power to appoint investigators and to require information and assistance.  It was held that the FCA can say that it was “the person imposing the requirement” when the requirement was imposed by an investigator acting on its behalf.  The issue arose in respect of a request by the FCA for costs which was granted (</w:t>
      </w:r>
      <w:r>
        <w:rPr>
          <w:rFonts w:ascii="Courier New" w:hAnsi="Courier New" w:cs="Courier New"/>
          <w:sz w:val="24"/>
          <w:szCs w:val="24"/>
          <w:u w:val="single"/>
        </w:rPr>
        <w:t>Financial Conduct Authority v. Neville Registrars Limited</w:t>
      </w:r>
      <w:r>
        <w:rPr>
          <w:rFonts w:ascii="Courier New" w:hAnsi="Courier New" w:cs="Courier New"/>
          <w:sz w:val="24"/>
          <w:szCs w:val="24"/>
        </w:rPr>
        <w:t xml:space="preserve"> [2019] EWHC 1611 (Ch)).</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lastRenderedPageBreak/>
        <w:t>Guarantees</w:t>
      </w:r>
      <w:r>
        <w:rPr>
          <w:rFonts w:ascii="Courier New" w:hAnsi="Courier New" w:cs="Courier New"/>
          <w:sz w:val="24"/>
          <w:szCs w:val="24"/>
        </w:rPr>
        <w:t>.  The Scottish Sheriff Appeal Court considered the terms of a guarantee.  The context was an action by the Respondents against the First Defender concerning allegedly defective dry rot works.  It was held that the guarantee meant that the Appellant undertook to pay all debts due whenever and however arising (</w:t>
      </w:r>
      <w:r>
        <w:rPr>
          <w:rFonts w:ascii="Courier New" w:hAnsi="Courier New" w:cs="Courier New"/>
          <w:sz w:val="24"/>
          <w:szCs w:val="24"/>
          <w:u w:val="single"/>
        </w:rPr>
        <w:t>Shade v.  A N Young Limited</w:t>
      </w:r>
      <w:r>
        <w:rPr>
          <w:rFonts w:ascii="Courier New" w:hAnsi="Courier New" w:cs="Courier New"/>
          <w:sz w:val="24"/>
          <w:szCs w:val="24"/>
        </w:rPr>
        <w:t xml:space="preserve"> [2019] SAC (CIV) 22).</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Ombudsman</w:t>
      </w:r>
      <w:r>
        <w:rPr>
          <w:rFonts w:ascii="Courier New" w:hAnsi="Courier New" w:cs="Courier New"/>
          <w:sz w:val="24"/>
          <w:szCs w:val="24"/>
        </w:rPr>
        <w:t>.  The High Court ruled that the Pensions Ombudsman had been wrong in finding that a loss caused by a financial services provider’s administration had not been foreseeable.  The Appellant had asked the Respondent to transfer his personal pension from one scheme to another.  There had been undue delay in making funds available.  The High Court held that when a customer asks for their pension to be moved and there was a delay the customer might lose the opportunity to invest.  The issue arose in the context of money being available around the time of the Referendum and its availability during periods of resulting market fluctuations (</w:t>
      </w:r>
      <w:r>
        <w:rPr>
          <w:rFonts w:ascii="Courier New" w:hAnsi="Courier New" w:cs="Courier New"/>
          <w:sz w:val="24"/>
          <w:szCs w:val="24"/>
          <w:u w:val="single"/>
        </w:rPr>
        <w:t>Tenconi v. James Hay Partnership</w:t>
      </w:r>
      <w:r>
        <w:rPr>
          <w:rFonts w:ascii="Courier New" w:hAnsi="Courier New" w:cs="Courier New"/>
          <w:sz w:val="24"/>
          <w:szCs w:val="24"/>
        </w:rPr>
        <w:t>, 12</w:t>
      </w:r>
      <w:r w:rsidRPr="0089625F">
        <w:rPr>
          <w:rFonts w:ascii="Courier New" w:hAnsi="Courier New" w:cs="Courier New"/>
          <w:sz w:val="24"/>
          <w:szCs w:val="24"/>
          <w:vertAlign w:val="superscript"/>
        </w:rPr>
        <w:t>th</w:t>
      </w:r>
      <w:r>
        <w:rPr>
          <w:rFonts w:ascii="Courier New" w:hAnsi="Courier New" w:cs="Courier New"/>
          <w:sz w:val="24"/>
          <w:szCs w:val="24"/>
        </w:rPr>
        <w:t xml:space="preserve"> June 2019).</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Mortgages</w:t>
      </w:r>
      <w:r>
        <w:rPr>
          <w:rFonts w:ascii="Courier New" w:hAnsi="Courier New" w:cs="Courier New"/>
          <w:sz w:val="24"/>
          <w:szCs w:val="24"/>
        </w:rPr>
        <w:t xml:space="preserve">.  An application was made by a mortgagor to suspend a warrant for possession in favour of receivers.  The Court held that there was compelling evidence that a notice required by the Mortgage Repossessions (Protection of Tenants Etc.) Act 2010 had been properly served.  The Applicant in this case was </w:t>
      </w:r>
      <w:r>
        <w:rPr>
          <w:rFonts w:ascii="Courier New" w:hAnsi="Courier New" w:cs="Courier New"/>
          <w:sz w:val="24"/>
          <w:szCs w:val="24"/>
        </w:rPr>
        <w:lastRenderedPageBreak/>
        <w:t>not a party protected by the Act.  The application for a stay was rejected (</w:t>
      </w:r>
      <w:r>
        <w:rPr>
          <w:rFonts w:ascii="Courier New" w:hAnsi="Courier New" w:cs="Courier New"/>
          <w:sz w:val="24"/>
          <w:szCs w:val="24"/>
          <w:u w:val="single"/>
        </w:rPr>
        <w:t>Richards v. Avery</w:t>
      </w:r>
      <w:r>
        <w:rPr>
          <w:rFonts w:ascii="Courier New" w:hAnsi="Courier New" w:cs="Courier New"/>
          <w:sz w:val="24"/>
          <w:szCs w:val="24"/>
        </w:rPr>
        <w:t>, 5</w:t>
      </w:r>
      <w:r w:rsidRPr="0089625F">
        <w:rPr>
          <w:rFonts w:ascii="Courier New" w:hAnsi="Courier New" w:cs="Courier New"/>
          <w:sz w:val="24"/>
          <w:szCs w:val="24"/>
          <w:vertAlign w:val="superscript"/>
        </w:rPr>
        <w:t>th</w:t>
      </w:r>
      <w:r>
        <w:rPr>
          <w:rFonts w:ascii="Courier New" w:hAnsi="Courier New" w:cs="Courier New"/>
          <w:sz w:val="24"/>
          <w:szCs w:val="24"/>
        </w:rPr>
        <w:t xml:space="preserve"> June 2019).</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Unfair Terms</w:t>
      </w:r>
      <w:r>
        <w:rPr>
          <w:rFonts w:ascii="Courier New" w:hAnsi="Courier New" w:cs="Courier New"/>
          <w:sz w:val="24"/>
          <w:szCs w:val="24"/>
        </w:rPr>
        <w:t>.  The ECJ considered a request for a preliminary ruling in respect of the Unfair Terms Directive.  The request was made in proceedings between a leasing company and a borrower.  It was held that the Directive was to be interpreted as not precluding the legislation of a Member State under which a loan agreement is not invalid if it is denominated in foreign currency and, although it specifies the sum corresponding to that set out in the consumer’s application for finance in domestic currency, does not indicate the exchange rate applicable to that sum for the purpose of determining the definitive amount of the loan in foreign currency, but at the same time stipulates, in one of its terms, that the rate would be set by the lender in a separate document after the agreement has been concluded (</w:t>
      </w:r>
      <w:r w:rsidRPr="00391435">
        <w:rPr>
          <w:rFonts w:ascii="Courier New" w:hAnsi="Courier New" w:cs="Courier New"/>
          <w:sz w:val="24"/>
          <w:szCs w:val="24"/>
          <w:u w:val="single"/>
        </w:rPr>
        <w:t>G</w:t>
      </w:r>
      <w:r>
        <w:rPr>
          <w:rFonts w:ascii="Courier New" w:hAnsi="Courier New" w:cs="Courier New"/>
          <w:sz w:val="24"/>
          <w:szCs w:val="24"/>
          <w:u w:val="single"/>
        </w:rPr>
        <w:t>T v. HS Case C-38/17).</w:t>
      </w:r>
      <w:r>
        <w:rPr>
          <w:rFonts w:ascii="Courier New" w:hAnsi="Courier New" w:cs="Courier New"/>
          <w:sz w:val="24"/>
          <w:szCs w:val="24"/>
        </w:rPr>
        <w:t xml:space="preserve"> </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Pre-Contractual Explanations</w:t>
      </w:r>
      <w:r>
        <w:rPr>
          <w:rFonts w:ascii="Courier New" w:hAnsi="Courier New" w:cs="Courier New"/>
          <w:sz w:val="24"/>
          <w:szCs w:val="24"/>
        </w:rPr>
        <w:t>.  An Advocate General has given an opinion in respect of the different pre-contractual obligations on a creditor as provided for in Article 5(6) of Directive 2008/48</w:t>
      </w:r>
      <w:r w:rsidR="00D00280">
        <w:rPr>
          <w:rFonts w:ascii="Courier New" w:hAnsi="Courier New" w:cs="Courier New"/>
          <w:sz w:val="24"/>
          <w:szCs w:val="24"/>
        </w:rPr>
        <w:t>/EC</w:t>
      </w:r>
      <w:r>
        <w:rPr>
          <w:rFonts w:ascii="Courier New" w:hAnsi="Courier New" w:cs="Courier New"/>
          <w:sz w:val="24"/>
          <w:szCs w:val="24"/>
        </w:rPr>
        <w:t xml:space="preserve"> and the potential importance of the assessment of the creditworthiness of the consumer provided for in Article 8.  The opinion proposed that the Court reject the request for a preliminary ruling or, in the alternative, </w:t>
      </w:r>
      <w:r>
        <w:rPr>
          <w:rFonts w:ascii="Courier New" w:hAnsi="Courier New" w:cs="Courier New"/>
          <w:sz w:val="24"/>
          <w:szCs w:val="24"/>
        </w:rPr>
        <w:lastRenderedPageBreak/>
        <w:t>answers that Article 5(6) did not preclude a rule of national law under which the creditor and the credit intermediary must find, within the framework of the credit agreements which they usually offer or in which they are usually involved, the type and the amount of credit most suitable, taking into account the consumer’s financial situation at the time the credit agreement is concluded (</w:t>
      </w:r>
      <w:r>
        <w:rPr>
          <w:rFonts w:ascii="Courier New" w:hAnsi="Courier New" w:cs="Courier New"/>
          <w:sz w:val="24"/>
          <w:szCs w:val="24"/>
          <w:u w:val="single"/>
        </w:rPr>
        <w:t>Schyns v. Belfius Banque SA</w:t>
      </w:r>
      <w:r>
        <w:rPr>
          <w:rFonts w:ascii="Courier New" w:hAnsi="Courier New" w:cs="Courier New"/>
          <w:sz w:val="24"/>
          <w:szCs w:val="24"/>
        </w:rPr>
        <w:t xml:space="preserve"> Case C-58/18).</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Early Settlement</w:t>
      </w:r>
      <w:r>
        <w:rPr>
          <w:rFonts w:ascii="Courier New" w:hAnsi="Courier New" w:cs="Courier New"/>
          <w:sz w:val="24"/>
          <w:szCs w:val="24"/>
        </w:rPr>
        <w:t>.  An Advocate General’s opinion dealt with the interpretation of Article 16(1) of Directive 2008/48/EC as to the meaning of the legislation concerning the entitlement of a consumer to a reduction in the cost of credit where he or she has fully or partially made an early settlement.  The opinion proposed that Article 16(1) should be read in conjunction with Article 3(g) and is to be interpreted as meaning that, where the consumer has made an early settlement, the reduction to which that consumer is entitled may concern costs for which the amount does not depend on the duration of the credit agreement.  However, a Member State cannot limit this reduction simply to the amount of expenses saved by the credit institution as a result of early repayment (</w:t>
      </w:r>
      <w:r>
        <w:rPr>
          <w:rFonts w:ascii="Courier New" w:hAnsi="Courier New" w:cs="Courier New"/>
          <w:sz w:val="24"/>
          <w:szCs w:val="24"/>
          <w:u w:val="single"/>
        </w:rPr>
        <w:t>Lexitor v. Santander Consumer Bank</w:t>
      </w:r>
      <w:r>
        <w:rPr>
          <w:rFonts w:ascii="Courier New" w:hAnsi="Courier New" w:cs="Courier New"/>
          <w:sz w:val="24"/>
          <w:szCs w:val="24"/>
        </w:rPr>
        <w:t xml:space="preserve"> Case C-383/18). </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Forgery</w:t>
      </w:r>
      <w:r>
        <w:rPr>
          <w:rFonts w:ascii="Courier New" w:hAnsi="Courier New" w:cs="Courier New"/>
          <w:sz w:val="24"/>
          <w:szCs w:val="24"/>
        </w:rPr>
        <w:t xml:space="preserve">.  The High Court held that a letter agreeing to write-off a substantial bank borrowing signed by a relationship </w:t>
      </w:r>
      <w:r>
        <w:rPr>
          <w:rFonts w:ascii="Courier New" w:hAnsi="Courier New" w:cs="Courier New"/>
          <w:sz w:val="24"/>
          <w:szCs w:val="24"/>
        </w:rPr>
        <w:lastRenderedPageBreak/>
        <w:t>manager was a forgery.  The manager did not have actual or apparent authority to bind the bank.  The Claimant sought an order for specific performance compelling the bank to honour the term and this was dismissed (</w:t>
      </w:r>
      <w:r>
        <w:rPr>
          <w:rFonts w:ascii="Courier New" w:hAnsi="Courier New" w:cs="Courier New"/>
          <w:sz w:val="24"/>
          <w:szCs w:val="24"/>
          <w:u w:val="single"/>
        </w:rPr>
        <w:t>Stavrinides v. Bank of Cyprus</w:t>
      </w:r>
      <w:r>
        <w:rPr>
          <w:rFonts w:ascii="Courier New" w:hAnsi="Courier New" w:cs="Courier New"/>
          <w:sz w:val="24"/>
          <w:szCs w:val="24"/>
        </w:rPr>
        <w:t xml:space="preserve"> [2019] EWCA 1328 (Ch)).</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Mortgages</w:t>
      </w:r>
      <w:r>
        <w:rPr>
          <w:rFonts w:ascii="Courier New" w:hAnsi="Courier New" w:cs="Courier New"/>
          <w:sz w:val="24"/>
          <w:szCs w:val="24"/>
        </w:rPr>
        <w:t>.  The FCA have published a Consultation Paper (CP 19/17) on proposed changes to mortgage advice and selling standards.</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Hire-Purchase</w:t>
      </w:r>
      <w:r>
        <w:rPr>
          <w:rFonts w:ascii="Courier New" w:hAnsi="Courier New" w:cs="Courier New"/>
          <w:sz w:val="24"/>
          <w:szCs w:val="24"/>
        </w:rPr>
        <w:t xml:space="preserve">.  The High Court discharged an injunction requiring a finance provider to return a car which was on hire-purchase when the consumer had not made payment of one-third.  This </w:t>
      </w:r>
      <w:r w:rsidR="00D00280">
        <w:rPr>
          <w:rFonts w:ascii="Courier New" w:hAnsi="Courier New" w:cs="Courier New"/>
          <w:sz w:val="24"/>
          <w:szCs w:val="24"/>
        </w:rPr>
        <w:t>would</w:t>
      </w:r>
      <w:r>
        <w:rPr>
          <w:rFonts w:ascii="Courier New" w:hAnsi="Courier New" w:cs="Courier New"/>
          <w:sz w:val="24"/>
          <w:szCs w:val="24"/>
        </w:rPr>
        <w:t xml:space="preserve"> cause the </w:t>
      </w:r>
      <w:r w:rsidR="00D00280">
        <w:rPr>
          <w:rFonts w:ascii="Courier New" w:hAnsi="Courier New" w:cs="Courier New"/>
          <w:sz w:val="24"/>
          <w:szCs w:val="24"/>
        </w:rPr>
        <w:t>least</w:t>
      </w:r>
      <w:r>
        <w:rPr>
          <w:rFonts w:ascii="Courier New" w:hAnsi="Courier New" w:cs="Courier New"/>
          <w:sz w:val="24"/>
          <w:szCs w:val="24"/>
        </w:rPr>
        <w:t xml:space="preserve"> injustice irrespective of the outcome of the case (</w:t>
      </w:r>
      <w:r>
        <w:rPr>
          <w:rFonts w:ascii="Courier New" w:hAnsi="Courier New" w:cs="Courier New"/>
          <w:sz w:val="24"/>
          <w:szCs w:val="24"/>
          <w:u w:val="single"/>
        </w:rPr>
        <w:t>William v. Black Horse</w:t>
      </w:r>
      <w:r>
        <w:rPr>
          <w:rFonts w:ascii="Courier New" w:hAnsi="Courier New" w:cs="Courier New"/>
          <w:sz w:val="24"/>
          <w:szCs w:val="24"/>
        </w:rPr>
        <w:t>, 25</w:t>
      </w:r>
      <w:r w:rsidRPr="00D46032">
        <w:rPr>
          <w:rFonts w:ascii="Courier New" w:hAnsi="Courier New" w:cs="Courier New"/>
          <w:sz w:val="24"/>
          <w:szCs w:val="24"/>
          <w:vertAlign w:val="superscript"/>
        </w:rPr>
        <w:t>th</w:t>
      </w:r>
      <w:r>
        <w:rPr>
          <w:rFonts w:ascii="Courier New" w:hAnsi="Courier New" w:cs="Courier New"/>
          <w:sz w:val="24"/>
          <w:szCs w:val="24"/>
        </w:rPr>
        <w:t xml:space="preserve"> June 2019).</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Statutory Demand</w:t>
      </w:r>
      <w:r>
        <w:rPr>
          <w:rFonts w:ascii="Courier New" w:hAnsi="Courier New" w:cs="Courier New"/>
          <w:sz w:val="24"/>
          <w:szCs w:val="24"/>
        </w:rPr>
        <w:t xml:space="preserve">.  A petitioning creditor failed in an appeal against the setting aside of statutory demands.  The individuals had been directors and shareholders of a company and they entered into personal guarantee in respect of a loan facility.  This was limited to £170,000.  They also executed third-party mortgages over properties they owned.  These, however, negated any personal liability in respect of the company’s liabilities.  The bank assigned the rights when there was a default and the assignee appointed receivers.  The </w:t>
      </w:r>
      <w:r>
        <w:rPr>
          <w:rFonts w:ascii="Courier New" w:hAnsi="Courier New" w:cs="Courier New"/>
          <w:sz w:val="24"/>
          <w:szCs w:val="24"/>
        </w:rPr>
        <w:lastRenderedPageBreak/>
        <w:t>issue in the appeal turned upon the expression “security in respect of the debt”.  The argument by the creditor that the security is held over the properties by way of the third-part mortgages was in respect of the company’s indebtedness was rejected (</w:t>
      </w:r>
      <w:r>
        <w:rPr>
          <w:rFonts w:ascii="Courier New" w:hAnsi="Courier New" w:cs="Courier New"/>
          <w:sz w:val="24"/>
          <w:szCs w:val="24"/>
          <w:u w:val="single"/>
        </w:rPr>
        <w:t>Promontoria v. Bell</w:t>
      </w:r>
      <w:r>
        <w:rPr>
          <w:rFonts w:ascii="Courier New" w:hAnsi="Courier New" w:cs="Courier New"/>
          <w:sz w:val="24"/>
          <w:szCs w:val="24"/>
        </w:rPr>
        <w:t xml:space="preserve"> [2019] EWHC 1581 (Ch)).</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rPr>
        <w:t>FOOD</w:t>
      </w: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Salmonella</w:t>
      </w:r>
      <w:r>
        <w:rPr>
          <w:rFonts w:ascii="Courier New" w:hAnsi="Courier New" w:cs="Courier New"/>
          <w:sz w:val="24"/>
          <w:szCs w:val="24"/>
        </w:rPr>
        <w:t>.  The Control of Salmonella in Poultry (Amendment) Order 2019 came into force on 22</w:t>
      </w:r>
      <w:r w:rsidRPr="00D46032">
        <w:rPr>
          <w:rFonts w:ascii="Courier New" w:hAnsi="Courier New" w:cs="Courier New"/>
          <w:sz w:val="24"/>
          <w:szCs w:val="24"/>
          <w:vertAlign w:val="superscript"/>
        </w:rPr>
        <w:t>nd</w:t>
      </w:r>
      <w:r>
        <w:rPr>
          <w:rFonts w:ascii="Courier New" w:hAnsi="Courier New" w:cs="Courier New"/>
          <w:sz w:val="24"/>
          <w:szCs w:val="24"/>
        </w:rPr>
        <w:t xml:space="preserve"> March 2019.</w:t>
      </w:r>
    </w:p>
    <w:p w:rsidR="00D46032" w:rsidRDefault="00D46032" w:rsidP="00D46032">
      <w:pPr>
        <w:spacing w:after="0" w:line="480" w:lineRule="auto"/>
        <w:jc w:val="both"/>
        <w:rPr>
          <w:rFonts w:ascii="Courier New" w:hAnsi="Courier New" w:cs="Courier New"/>
          <w:sz w:val="24"/>
          <w:szCs w:val="24"/>
        </w:rPr>
      </w:pPr>
    </w:p>
    <w:p w:rsidR="00D46032" w:rsidRDefault="00D46032"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Alcohol</w:t>
      </w:r>
      <w:r>
        <w:rPr>
          <w:rFonts w:ascii="Courier New" w:hAnsi="Courier New" w:cs="Courier New"/>
          <w:sz w:val="24"/>
          <w:szCs w:val="24"/>
        </w:rPr>
        <w:t>.  The local authority</w:t>
      </w:r>
      <w:r w:rsidR="00EA0D7F">
        <w:rPr>
          <w:rFonts w:ascii="Courier New" w:hAnsi="Courier New" w:cs="Courier New"/>
          <w:sz w:val="24"/>
          <w:szCs w:val="24"/>
        </w:rPr>
        <w:t xml:space="preserve"> has informed shops in Bradford that selling “super strength” lager to street drinkers could result in the loss of their licence.</w:t>
      </w:r>
    </w:p>
    <w:p w:rsidR="00EA0D7F" w:rsidRDefault="00EA0D7F" w:rsidP="00D46032">
      <w:pPr>
        <w:spacing w:after="0" w:line="480" w:lineRule="auto"/>
        <w:jc w:val="both"/>
        <w:rPr>
          <w:rFonts w:ascii="Courier New" w:hAnsi="Courier New" w:cs="Courier New"/>
          <w:sz w:val="24"/>
          <w:szCs w:val="24"/>
        </w:rPr>
      </w:pPr>
    </w:p>
    <w:p w:rsidR="00EA0D7F" w:rsidRDefault="00EA0D7F"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Manslaughter</w:t>
      </w:r>
      <w:r>
        <w:rPr>
          <w:rFonts w:ascii="Courier New" w:hAnsi="Courier New" w:cs="Courier New"/>
          <w:sz w:val="24"/>
          <w:szCs w:val="24"/>
        </w:rPr>
        <w:t>.  The Court of Appeal (Criminal Division) quashed as unsafe a conviction for gross negligence manslaughter following the death of a consumer who suffered from peanut allergy.  There was a requirement that the reasonable person had to have foreseen an obvious and serious risk of death.  The jury direction on attribution and knowledge rendered the conviction unsafe (</w:t>
      </w:r>
      <w:r>
        <w:rPr>
          <w:rFonts w:ascii="Courier New" w:hAnsi="Courier New" w:cs="Courier New"/>
          <w:sz w:val="24"/>
          <w:szCs w:val="24"/>
          <w:u w:val="single"/>
        </w:rPr>
        <w:t>R v. Kuddus</w:t>
      </w:r>
      <w:r>
        <w:rPr>
          <w:rFonts w:ascii="Courier New" w:hAnsi="Courier New" w:cs="Courier New"/>
          <w:sz w:val="24"/>
          <w:szCs w:val="24"/>
        </w:rPr>
        <w:t xml:space="preserve"> [2019] EWCA Crim 837).</w:t>
      </w:r>
    </w:p>
    <w:p w:rsidR="00EA0D7F" w:rsidRDefault="00EA0D7F" w:rsidP="00D46032">
      <w:pPr>
        <w:spacing w:after="0" w:line="480" w:lineRule="auto"/>
        <w:jc w:val="both"/>
        <w:rPr>
          <w:rFonts w:ascii="Courier New" w:hAnsi="Courier New" w:cs="Courier New"/>
          <w:sz w:val="24"/>
          <w:szCs w:val="24"/>
        </w:rPr>
      </w:pPr>
    </w:p>
    <w:p w:rsidR="00EA0D7F" w:rsidRDefault="00EA0D7F" w:rsidP="00D46032">
      <w:pPr>
        <w:spacing w:after="0" w:line="480" w:lineRule="auto"/>
        <w:jc w:val="both"/>
        <w:rPr>
          <w:rFonts w:ascii="Courier New" w:hAnsi="Courier New" w:cs="Courier New"/>
          <w:sz w:val="24"/>
          <w:szCs w:val="24"/>
        </w:rPr>
      </w:pPr>
      <w:r>
        <w:rPr>
          <w:rFonts w:ascii="Courier New" w:hAnsi="Courier New" w:cs="Courier New"/>
          <w:sz w:val="24"/>
          <w:szCs w:val="24"/>
          <w:u w:val="single"/>
        </w:rPr>
        <w:t>Spirits</w:t>
      </w:r>
      <w:r>
        <w:rPr>
          <w:rFonts w:ascii="Courier New" w:hAnsi="Courier New" w:cs="Courier New"/>
          <w:sz w:val="24"/>
          <w:szCs w:val="24"/>
        </w:rPr>
        <w:t>.  The European Council have proposed a regulation on the definition, description, presentation and labelling of spirit drinks.</w:t>
      </w:r>
    </w:p>
    <w:p w:rsidR="00EA0D7F" w:rsidRDefault="00EA0D7F" w:rsidP="00D46032">
      <w:pPr>
        <w:spacing w:after="0" w:line="480" w:lineRule="auto"/>
        <w:jc w:val="both"/>
        <w:rPr>
          <w:rFonts w:ascii="Courier New" w:hAnsi="Courier New" w:cs="Courier New"/>
          <w:sz w:val="24"/>
          <w:szCs w:val="24"/>
        </w:rPr>
      </w:pPr>
    </w:p>
    <w:p w:rsidR="00EA0D7F" w:rsidRDefault="00EA0D7F"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lastRenderedPageBreak/>
        <w:t>Mechanically Separated Meat</w:t>
      </w:r>
      <w:r>
        <w:rPr>
          <w:rFonts w:ascii="Courier New" w:hAnsi="Courier New" w:cs="Courier New"/>
          <w:sz w:val="24"/>
          <w:szCs w:val="24"/>
        </w:rPr>
        <w:t>.  The Supreme Court have dismissed an appeal from the Court of Appeal on the proper interpretation of the CJEU judgment in respect of what should be categorised as MSM.  The Court of Appeal had correctly understood the judgment and had been right to adopt a narrow reading of the notion of “cutting point” (</w:t>
      </w:r>
      <w:r>
        <w:rPr>
          <w:rFonts w:ascii="Courier New" w:hAnsi="Courier New" w:cs="Courier New"/>
          <w:sz w:val="24"/>
          <w:szCs w:val="24"/>
          <w:u w:val="single"/>
        </w:rPr>
        <w:t>R (On the Application of Newby Foods Limited</w:t>
      </w:r>
      <w:r w:rsidR="00D00280">
        <w:rPr>
          <w:rFonts w:ascii="Courier New" w:hAnsi="Courier New" w:cs="Courier New"/>
          <w:sz w:val="24"/>
          <w:szCs w:val="24"/>
          <w:u w:val="single"/>
        </w:rPr>
        <w:t>)</w:t>
      </w:r>
      <w:r>
        <w:rPr>
          <w:rFonts w:ascii="Courier New" w:hAnsi="Courier New" w:cs="Courier New"/>
          <w:sz w:val="24"/>
          <w:szCs w:val="24"/>
          <w:u w:val="single"/>
        </w:rPr>
        <w:t xml:space="preserve"> v. Food Standards Agency</w:t>
      </w:r>
      <w:r>
        <w:rPr>
          <w:rFonts w:ascii="Courier New" w:hAnsi="Courier New" w:cs="Courier New"/>
          <w:sz w:val="24"/>
          <w:szCs w:val="24"/>
        </w:rPr>
        <w:t xml:space="preserve"> [2019] UKSC 18).</w:t>
      </w:r>
    </w:p>
    <w:p w:rsidR="00EA0D7F" w:rsidRDefault="00EA0D7F" w:rsidP="00EA0D7F">
      <w:pPr>
        <w:spacing w:after="0" w:line="480" w:lineRule="auto"/>
        <w:jc w:val="both"/>
        <w:rPr>
          <w:rFonts w:ascii="Courier New" w:hAnsi="Courier New" w:cs="Courier New"/>
          <w:sz w:val="24"/>
          <w:szCs w:val="24"/>
        </w:rPr>
      </w:pPr>
    </w:p>
    <w:p w:rsidR="00EA0D7F" w:rsidRDefault="00EA0D7F" w:rsidP="00EA0D7F">
      <w:pPr>
        <w:spacing w:after="0" w:line="480" w:lineRule="auto"/>
        <w:jc w:val="both"/>
        <w:rPr>
          <w:rFonts w:ascii="Courier New" w:hAnsi="Courier New" w:cs="Courier New"/>
          <w:sz w:val="24"/>
          <w:szCs w:val="24"/>
        </w:rPr>
      </w:pPr>
      <w:r>
        <w:rPr>
          <w:rFonts w:ascii="Courier New" w:hAnsi="Courier New" w:cs="Courier New"/>
          <w:sz w:val="24"/>
          <w:szCs w:val="24"/>
        </w:rPr>
        <w:t>UNDER-AGE SALES</w:t>
      </w:r>
    </w:p>
    <w:p w:rsidR="00EA0D7F" w:rsidRDefault="00EA0D7F"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t>Knives</w:t>
      </w:r>
      <w:r>
        <w:rPr>
          <w:rFonts w:ascii="Courier New" w:hAnsi="Courier New" w:cs="Courier New"/>
          <w:sz w:val="24"/>
          <w:szCs w:val="24"/>
        </w:rPr>
        <w:t>.  The Offensive Weapons Act 2019 makes amendments to the legislation in respect of the selling of knives to under-age persons.</w:t>
      </w:r>
    </w:p>
    <w:p w:rsidR="00EA0D7F" w:rsidRDefault="00EA0D7F" w:rsidP="00EA0D7F">
      <w:pPr>
        <w:spacing w:after="0" w:line="480" w:lineRule="auto"/>
        <w:jc w:val="both"/>
        <w:rPr>
          <w:rFonts w:ascii="Courier New" w:hAnsi="Courier New" w:cs="Courier New"/>
          <w:sz w:val="24"/>
          <w:szCs w:val="24"/>
        </w:rPr>
      </w:pPr>
    </w:p>
    <w:p w:rsidR="00EA0D7F" w:rsidRDefault="00EA0D7F" w:rsidP="00EA0D7F">
      <w:pPr>
        <w:spacing w:after="0" w:line="480" w:lineRule="auto"/>
        <w:jc w:val="both"/>
        <w:rPr>
          <w:rFonts w:ascii="Courier New" w:hAnsi="Courier New" w:cs="Courier New"/>
          <w:sz w:val="24"/>
          <w:szCs w:val="24"/>
        </w:rPr>
      </w:pPr>
      <w:r>
        <w:rPr>
          <w:rFonts w:ascii="Courier New" w:hAnsi="Courier New" w:cs="Courier New"/>
          <w:sz w:val="24"/>
          <w:szCs w:val="24"/>
        </w:rPr>
        <w:t>PLANNING</w:t>
      </w:r>
    </w:p>
    <w:p w:rsidR="00EA0D7F" w:rsidRDefault="00EA0D7F"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t>Defendant</w:t>
      </w:r>
      <w:r>
        <w:rPr>
          <w:rFonts w:ascii="Courier New" w:hAnsi="Courier New" w:cs="Courier New"/>
          <w:sz w:val="24"/>
          <w:szCs w:val="24"/>
        </w:rPr>
        <w:t xml:space="preserve">.  The Administrative Court granted a claim for judicial review and quashed the decision by which an individual was convicted and committed </w:t>
      </w:r>
      <w:r w:rsidR="00D00280">
        <w:rPr>
          <w:rFonts w:ascii="Courier New" w:hAnsi="Courier New" w:cs="Courier New"/>
          <w:sz w:val="24"/>
          <w:szCs w:val="24"/>
        </w:rPr>
        <w:t>f</w:t>
      </w:r>
      <w:r>
        <w:rPr>
          <w:rFonts w:ascii="Courier New" w:hAnsi="Courier New" w:cs="Courier New"/>
          <w:sz w:val="24"/>
          <w:szCs w:val="24"/>
        </w:rPr>
        <w:t>o</w:t>
      </w:r>
      <w:r w:rsidR="00D00280">
        <w:rPr>
          <w:rFonts w:ascii="Courier New" w:hAnsi="Courier New" w:cs="Courier New"/>
          <w:sz w:val="24"/>
          <w:szCs w:val="24"/>
        </w:rPr>
        <w:t>r</w:t>
      </w:r>
      <w:r>
        <w:rPr>
          <w:rFonts w:ascii="Courier New" w:hAnsi="Courier New" w:cs="Courier New"/>
          <w:sz w:val="24"/>
          <w:szCs w:val="24"/>
        </w:rPr>
        <w:t xml:space="preserve"> sentencing in respect of alleged breaches of an enforcement notice.  The person who had attended Court had not been the Defendant (</w:t>
      </w:r>
      <w:r>
        <w:rPr>
          <w:rFonts w:ascii="Courier New" w:hAnsi="Courier New" w:cs="Courier New"/>
          <w:sz w:val="24"/>
          <w:szCs w:val="24"/>
          <w:u w:val="single"/>
        </w:rPr>
        <w:t>R (On the Application of Bahbahani) v. Ealing Magistrates’ Court</w:t>
      </w:r>
      <w:r>
        <w:rPr>
          <w:rFonts w:ascii="Courier New" w:hAnsi="Courier New" w:cs="Courier New"/>
          <w:sz w:val="24"/>
          <w:szCs w:val="24"/>
        </w:rPr>
        <w:t xml:space="preserve"> [2019] EWHC 1385 (Admin)).</w:t>
      </w:r>
    </w:p>
    <w:p w:rsidR="00EA0D7F" w:rsidRDefault="00EA0D7F" w:rsidP="00EA0D7F">
      <w:pPr>
        <w:spacing w:after="0" w:line="480" w:lineRule="auto"/>
        <w:jc w:val="both"/>
        <w:rPr>
          <w:rFonts w:ascii="Courier New" w:hAnsi="Courier New" w:cs="Courier New"/>
          <w:sz w:val="24"/>
          <w:szCs w:val="24"/>
        </w:rPr>
      </w:pPr>
    </w:p>
    <w:p w:rsidR="00EA0D7F" w:rsidRDefault="00EA0D7F" w:rsidP="00EA0D7F">
      <w:pPr>
        <w:spacing w:after="0" w:line="480" w:lineRule="auto"/>
        <w:jc w:val="both"/>
        <w:rPr>
          <w:rFonts w:ascii="Courier New" w:hAnsi="Courier New" w:cs="Courier New"/>
          <w:sz w:val="24"/>
          <w:szCs w:val="24"/>
        </w:rPr>
      </w:pPr>
      <w:r>
        <w:rPr>
          <w:rFonts w:ascii="Courier New" w:hAnsi="Courier New" w:cs="Courier New"/>
          <w:sz w:val="24"/>
          <w:szCs w:val="24"/>
        </w:rPr>
        <w:t>ADVERTISING</w:t>
      </w:r>
    </w:p>
    <w:p w:rsidR="00EA0D7F" w:rsidRDefault="00EA0D7F"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t>Advertising Standards Authority</w:t>
      </w:r>
      <w:r>
        <w:rPr>
          <w:rFonts w:ascii="Courier New" w:hAnsi="Courier New" w:cs="Courier New"/>
          <w:sz w:val="24"/>
          <w:szCs w:val="24"/>
        </w:rPr>
        <w:t xml:space="preserve">.  The ASA applied for an injunction on an interim basis restraining the Respondent from </w:t>
      </w:r>
      <w:r>
        <w:rPr>
          <w:rFonts w:ascii="Courier New" w:hAnsi="Courier New" w:cs="Courier New"/>
          <w:sz w:val="24"/>
          <w:szCs w:val="24"/>
        </w:rPr>
        <w:lastRenderedPageBreak/>
        <w:t>publishing or using the contents of an email which had been sent in error.  The underlying dispute concerned a billboard advertisement which criticised a bank.  An ASA officer sent an email which was intended for a solicitor about legal advice to the Respondent.  The High Court held that the ASA was likely to be able to establish that the Defendant was domiciled in the jurisdiction and interim relief was granted (</w:t>
      </w:r>
      <w:r w:rsidR="0092247C">
        <w:rPr>
          <w:rFonts w:ascii="Courier New" w:hAnsi="Courier New" w:cs="Courier New"/>
          <w:sz w:val="24"/>
          <w:szCs w:val="24"/>
          <w:u w:val="single"/>
        </w:rPr>
        <w:t>Advertising Standards Authority v. Mitchell</w:t>
      </w:r>
      <w:r w:rsidR="0092247C">
        <w:rPr>
          <w:rFonts w:ascii="Courier New" w:hAnsi="Courier New" w:cs="Courier New"/>
          <w:sz w:val="24"/>
          <w:szCs w:val="24"/>
        </w:rPr>
        <w:t xml:space="preserve"> [2019] EWHC 1469 (QB)).</w:t>
      </w:r>
    </w:p>
    <w:p w:rsidR="0092247C" w:rsidRDefault="0092247C" w:rsidP="00EA0D7F">
      <w:pPr>
        <w:spacing w:after="0" w:line="480" w:lineRule="auto"/>
        <w:jc w:val="both"/>
        <w:rPr>
          <w:rFonts w:ascii="Courier New" w:hAnsi="Courier New" w:cs="Courier New"/>
          <w:sz w:val="24"/>
          <w:szCs w:val="24"/>
        </w:rPr>
      </w:pPr>
    </w:p>
    <w:p w:rsidR="0092247C" w:rsidRDefault="0092247C" w:rsidP="00EA0D7F">
      <w:pPr>
        <w:spacing w:after="0" w:line="480" w:lineRule="auto"/>
        <w:jc w:val="both"/>
        <w:rPr>
          <w:rFonts w:ascii="Courier New" w:hAnsi="Courier New" w:cs="Courier New"/>
          <w:sz w:val="24"/>
          <w:szCs w:val="24"/>
        </w:rPr>
      </w:pPr>
      <w:r>
        <w:rPr>
          <w:rFonts w:ascii="Courier New" w:hAnsi="Courier New" w:cs="Courier New"/>
          <w:sz w:val="24"/>
          <w:szCs w:val="24"/>
        </w:rPr>
        <w:t>WAREHOUSING</w:t>
      </w:r>
    </w:p>
    <w:p w:rsidR="0092247C" w:rsidRDefault="0092247C"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t>Alcohol</w:t>
      </w:r>
      <w:r>
        <w:rPr>
          <w:rFonts w:ascii="Courier New" w:hAnsi="Courier New" w:cs="Courier New"/>
          <w:sz w:val="24"/>
          <w:szCs w:val="24"/>
        </w:rPr>
        <w:t>.  The Supreme Court had held that where HMRC decided that a wholesaler was not a fit and proper person to carry on the wholesale supply of duty paid alcohol</w:t>
      </w:r>
      <w:r w:rsidR="00D00280">
        <w:rPr>
          <w:rFonts w:ascii="Courier New" w:hAnsi="Courier New" w:cs="Courier New"/>
          <w:sz w:val="24"/>
          <w:szCs w:val="24"/>
        </w:rPr>
        <w:t>, it</w:t>
      </w:r>
      <w:r>
        <w:rPr>
          <w:rFonts w:ascii="Courier New" w:hAnsi="Courier New" w:cs="Courier New"/>
          <w:sz w:val="24"/>
          <w:szCs w:val="24"/>
        </w:rPr>
        <w:t xml:space="preserve"> had no power to grant temporary approval pending appeal to the First Tier Tribunal (</w:t>
      </w:r>
      <w:r>
        <w:rPr>
          <w:rFonts w:ascii="Courier New" w:hAnsi="Courier New" w:cs="Courier New"/>
          <w:sz w:val="24"/>
          <w:szCs w:val="24"/>
          <w:u w:val="single"/>
        </w:rPr>
        <w:t>OWD Limited v. HMRC</w:t>
      </w:r>
      <w:r>
        <w:rPr>
          <w:rFonts w:ascii="Courier New" w:hAnsi="Courier New" w:cs="Courier New"/>
          <w:sz w:val="24"/>
          <w:szCs w:val="24"/>
        </w:rPr>
        <w:t xml:space="preserve"> [2019] UKSC 30).</w:t>
      </w:r>
    </w:p>
    <w:p w:rsidR="0092247C" w:rsidRDefault="0092247C" w:rsidP="00EA0D7F">
      <w:pPr>
        <w:spacing w:after="0" w:line="480" w:lineRule="auto"/>
        <w:jc w:val="both"/>
        <w:rPr>
          <w:rFonts w:ascii="Courier New" w:hAnsi="Courier New" w:cs="Courier New"/>
          <w:sz w:val="24"/>
          <w:szCs w:val="24"/>
        </w:rPr>
      </w:pPr>
    </w:p>
    <w:p w:rsidR="0092247C" w:rsidRDefault="0092247C" w:rsidP="00EA0D7F">
      <w:pPr>
        <w:spacing w:after="0" w:line="480" w:lineRule="auto"/>
        <w:jc w:val="both"/>
        <w:rPr>
          <w:rFonts w:ascii="Courier New" w:hAnsi="Courier New" w:cs="Courier New"/>
          <w:sz w:val="24"/>
          <w:szCs w:val="24"/>
        </w:rPr>
      </w:pPr>
      <w:r>
        <w:rPr>
          <w:rFonts w:ascii="Courier New" w:hAnsi="Courier New" w:cs="Courier New"/>
          <w:sz w:val="24"/>
          <w:szCs w:val="24"/>
        </w:rPr>
        <w:t>TIMESHARE</w:t>
      </w:r>
    </w:p>
    <w:p w:rsidR="0092247C" w:rsidRDefault="0092247C"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t>Tax</w:t>
      </w:r>
      <w:r>
        <w:rPr>
          <w:rFonts w:ascii="Courier New" w:hAnsi="Courier New" w:cs="Courier New"/>
          <w:sz w:val="24"/>
          <w:szCs w:val="24"/>
        </w:rPr>
        <w:t>.  A professional trustee company was refused an indemnity to cover liability for Spanish Corporation Taxes.  The indemnity was claimed against a body which owned holiday apartments</w:t>
      </w:r>
      <w:r w:rsidR="00D00280">
        <w:rPr>
          <w:rFonts w:ascii="Courier New" w:hAnsi="Courier New" w:cs="Courier New"/>
          <w:sz w:val="24"/>
          <w:szCs w:val="24"/>
        </w:rPr>
        <w:t>.</w:t>
      </w:r>
      <w:r>
        <w:rPr>
          <w:rFonts w:ascii="Courier New" w:hAnsi="Courier New" w:cs="Courier New"/>
          <w:sz w:val="24"/>
          <w:szCs w:val="24"/>
        </w:rPr>
        <w:t xml:space="preserve"> </w:t>
      </w:r>
      <w:r w:rsidR="00D00280">
        <w:rPr>
          <w:rFonts w:ascii="Courier New" w:hAnsi="Courier New" w:cs="Courier New"/>
          <w:sz w:val="24"/>
          <w:szCs w:val="24"/>
        </w:rPr>
        <w:t xml:space="preserve">Permission to appeal to the Court of Appeal has been granted </w:t>
      </w:r>
      <w:r>
        <w:rPr>
          <w:rFonts w:ascii="Courier New" w:hAnsi="Courier New" w:cs="Courier New"/>
          <w:sz w:val="24"/>
          <w:szCs w:val="24"/>
        </w:rPr>
        <w:t>(</w:t>
      </w:r>
      <w:r>
        <w:rPr>
          <w:rFonts w:ascii="Courier New" w:hAnsi="Courier New" w:cs="Courier New"/>
          <w:sz w:val="24"/>
          <w:szCs w:val="24"/>
          <w:u w:val="single"/>
        </w:rPr>
        <w:t>First National Trust Co v. Page</w:t>
      </w:r>
      <w:r w:rsidR="00D00280">
        <w:rPr>
          <w:rFonts w:ascii="Courier New" w:hAnsi="Courier New" w:cs="Courier New"/>
          <w:sz w:val="24"/>
          <w:szCs w:val="24"/>
        </w:rPr>
        <w:t xml:space="preserve"> [2019] EWHC 1187 (Ch)). </w:t>
      </w:r>
    </w:p>
    <w:p w:rsidR="0092247C" w:rsidRDefault="0092247C" w:rsidP="00EA0D7F">
      <w:pPr>
        <w:spacing w:after="0" w:line="480" w:lineRule="auto"/>
        <w:jc w:val="both"/>
        <w:rPr>
          <w:rFonts w:ascii="Courier New" w:hAnsi="Courier New" w:cs="Courier New"/>
          <w:sz w:val="24"/>
          <w:szCs w:val="24"/>
        </w:rPr>
      </w:pPr>
    </w:p>
    <w:p w:rsidR="0092247C" w:rsidRDefault="0092247C"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t>VAT</w:t>
      </w:r>
      <w:r>
        <w:rPr>
          <w:rFonts w:ascii="Courier New" w:hAnsi="Courier New" w:cs="Courier New"/>
          <w:sz w:val="24"/>
          <w:szCs w:val="24"/>
        </w:rPr>
        <w:t>.  The Court of Appeal allowed an appeal by HMRC against a decision that “fractional interest</w:t>
      </w:r>
      <w:r w:rsidR="00D00280">
        <w:rPr>
          <w:rFonts w:ascii="Courier New" w:hAnsi="Courier New" w:cs="Courier New"/>
          <w:sz w:val="24"/>
          <w:szCs w:val="24"/>
        </w:rPr>
        <w:t>s</w:t>
      </w:r>
      <w:r>
        <w:rPr>
          <w:rFonts w:ascii="Courier New" w:hAnsi="Courier New" w:cs="Courier New"/>
          <w:sz w:val="24"/>
          <w:szCs w:val="24"/>
        </w:rPr>
        <w:t xml:space="preserve">” were exempt from VAT.  </w:t>
      </w:r>
      <w:r>
        <w:rPr>
          <w:rFonts w:ascii="Courier New" w:hAnsi="Courier New" w:cs="Courier New"/>
          <w:sz w:val="24"/>
          <w:szCs w:val="24"/>
        </w:rPr>
        <w:lastRenderedPageBreak/>
        <w:t>The property concerned was divided into 49 apartments.  The grant of the interest involved more than a mere letting transaction and there were obligations as to providing hotel-type services which could not be regarded as ancillary (</w:t>
      </w:r>
      <w:r>
        <w:rPr>
          <w:rFonts w:ascii="Courier New" w:hAnsi="Courier New" w:cs="Courier New"/>
          <w:sz w:val="24"/>
          <w:szCs w:val="24"/>
          <w:u w:val="single"/>
        </w:rPr>
        <w:t>HMRC v. Fortyseven Park Street Limited</w:t>
      </w:r>
      <w:r>
        <w:rPr>
          <w:rFonts w:ascii="Courier New" w:hAnsi="Courier New" w:cs="Courier New"/>
          <w:sz w:val="24"/>
          <w:szCs w:val="24"/>
        </w:rPr>
        <w:t xml:space="preserve"> [2019] EWCA Civ 849).</w:t>
      </w:r>
    </w:p>
    <w:p w:rsidR="0092247C" w:rsidRDefault="0092247C" w:rsidP="00EA0D7F">
      <w:pPr>
        <w:spacing w:after="0" w:line="480" w:lineRule="auto"/>
        <w:jc w:val="both"/>
        <w:rPr>
          <w:rFonts w:ascii="Courier New" w:hAnsi="Courier New" w:cs="Courier New"/>
          <w:sz w:val="24"/>
          <w:szCs w:val="24"/>
        </w:rPr>
      </w:pPr>
    </w:p>
    <w:p w:rsidR="0092247C" w:rsidRDefault="0092247C" w:rsidP="00EA0D7F">
      <w:pPr>
        <w:spacing w:after="0" w:line="480" w:lineRule="auto"/>
        <w:jc w:val="both"/>
        <w:rPr>
          <w:rFonts w:ascii="Courier New" w:hAnsi="Courier New" w:cs="Courier New"/>
          <w:sz w:val="24"/>
          <w:szCs w:val="24"/>
        </w:rPr>
      </w:pPr>
      <w:r>
        <w:rPr>
          <w:rFonts w:ascii="Courier New" w:hAnsi="Courier New" w:cs="Courier New"/>
          <w:sz w:val="24"/>
          <w:szCs w:val="24"/>
        </w:rPr>
        <w:t>STATUTORY NUISANCE</w:t>
      </w:r>
    </w:p>
    <w:p w:rsidR="0092247C" w:rsidRDefault="0092247C"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t>Costs</w:t>
      </w:r>
      <w:r>
        <w:rPr>
          <w:rFonts w:ascii="Courier New" w:hAnsi="Courier New" w:cs="Courier New"/>
          <w:sz w:val="24"/>
          <w:szCs w:val="24"/>
        </w:rPr>
        <w:t xml:space="preserve">.  The Administrative Court held that a Magistrates’ Court had acted outside </w:t>
      </w:r>
      <w:r w:rsidR="00D00280">
        <w:rPr>
          <w:rFonts w:ascii="Courier New" w:hAnsi="Courier New" w:cs="Courier New"/>
          <w:sz w:val="24"/>
          <w:szCs w:val="24"/>
        </w:rPr>
        <w:t xml:space="preserve">its </w:t>
      </w:r>
      <w:r>
        <w:rPr>
          <w:rFonts w:ascii="Courier New" w:hAnsi="Courier New" w:cs="Courier New"/>
          <w:sz w:val="24"/>
          <w:szCs w:val="24"/>
        </w:rPr>
        <w:t>jurisdiction in awarding the costs of a prosecution in respect of the abatement of a statutory nuisance to the interested parties’ solicitors as the solicitors were not party to the proceedings.  The prosecution involving allegations of mouse infestation had been settled and the Claimant agreed to pay the costs of the solicitors for the interested parties.  The parties could not agree and the Magistrates ruled that there should be a payment of just over £21,000.  The High Court held that the costs were grossly disproportionate and, in any event, the solicitors were not party to the proceedings (</w:t>
      </w:r>
      <w:r>
        <w:rPr>
          <w:rFonts w:ascii="Courier New" w:hAnsi="Courier New" w:cs="Courier New"/>
          <w:sz w:val="24"/>
          <w:szCs w:val="24"/>
          <w:u w:val="single"/>
        </w:rPr>
        <w:t>R (On the Application of Nottinghill Genesis) v. Camberwell Green Magistrates’ Court</w:t>
      </w:r>
      <w:r>
        <w:rPr>
          <w:rFonts w:ascii="Courier New" w:hAnsi="Courier New" w:cs="Courier New"/>
          <w:sz w:val="24"/>
          <w:szCs w:val="24"/>
        </w:rPr>
        <w:t xml:space="preserve"> [2019] EWHC 1423 (Admin)).</w:t>
      </w:r>
    </w:p>
    <w:p w:rsidR="0092247C" w:rsidRDefault="0092247C" w:rsidP="00EA0D7F">
      <w:pPr>
        <w:spacing w:after="0" w:line="480" w:lineRule="auto"/>
        <w:jc w:val="both"/>
        <w:rPr>
          <w:rFonts w:ascii="Courier New" w:hAnsi="Courier New" w:cs="Courier New"/>
          <w:sz w:val="24"/>
          <w:szCs w:val="24"/>
        </w:rPr>
      </w:pPr>
    </w:p>
    <w:p w:rsidR="0092247C" w:rsidRDefault="0092247C" w:rsidP="00EA0D7F">
      <w:pPr>
        <w:spacing w:after="0" w:line="480" w:lineRule="auto"/>
        <w:jc w:val="both"/>
        <w:rPr>
          <w:rFonts w:ascii="Courier New" w:hAnsi="Courier New" w:cs="Courier New"/>
          <w:sz w:val="24"/>
          <w:szCs w:val="24"/>
        </w:rPr>
      </w:pPr>
      <w:r>
        <w:rPr>
          <w:rFonts w:ascii="Courier New" w:hAnsi="Courier New" w:cs="Courier New"/>
          <w:sz w:val="24"/>
          <w:szCs w:val="24"/>
        </w:rPr>
        <w:t>CONSUMER PROTECTION</w:t>
      </w:r>
    </w:p>
    <w:p w:rsidR="0092247C" w:rsidRDefault="0092247C"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t>Directives</w:t>
      </w:r>
      <w:r>
        <w:rPr>
          <w:rFonts w:ascii="Courier New" w:hAnsi="Courier New" w:cs="Courier New"/>
          <w:sz w:val="24"/>
          <w:szCs w:val="24"/>
        </w:rPr>
        <w:t xml:space="preserve">.  The European Parliament has agreed to rules to improve transparency in respect of online market places and dual quality of products.  It will now be submitted to the EU </w:t>
      </w:r>
      <w:r>
        <w:rPr>
          <w:rFonts w:ascii="Courier New" w:hAnsi="Courier New" w:cs="Courier New"/>
          <w:sz w:val="24"/>
          <w:szCs w:val="24"/>
        </w:rPr>
        <w:lastRenderedPageBreak/>
        <w:t>Council.  The legislation will amend Directives on unfair commercial practices, consumer rights, unfair contract terms and price indications.</w:t>
      </w:r>
    </w:p>
    <w:p w:rsidR="0092247C" w:rsidRDefault="0092247C" w:rsidP="00EA0D7F">
      <w:pPr>
        <w:spacing w:after="0" w:line="480" w:lineRule="auto"/>
        <w:jc w:val="both"/>
        <w:rPr>
          <w:rFonts w:ascii="Courier New" w:hAnsi="Courier New" w:cs="Courier New"/>
          <w:sz w:val="24"/>
          <w:szCs w:val="24"/>
        </w:rPr>
      </w:pPr>
    </w:p>
    <w:p w:rsidR="0092247C" w:rsidRDefault="0092247C"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t>Ticketing</w:t>
      </w:r>
      <w:r>
        <w:rPr>
          <w:rFonts w:ascii="Courier New" w:hAnsi="Courier New" w:cs="Courier New"/>
          <w:sz w:val="24"/>
          <w:szCs w:val="24"/>
        </w:rPr>
        <w:t>.  The First Tier Tribunal allowed an appeal in respect of secondary ticketing.  The Appeal concerned the imposition of a civil penalty on the Appellants.  The relevant time limits had not been complied with (</w:t>
      </w:r>
      <w:r>
        <w:rPr>
          <w:rFonts w:ascii="Courier New" w:hAnsi="Courier New" w:cs="Courier New"/>
          <w:sz w:val="24"/>
          <w:szCs w:val="24"/>
          <w:u w:val="single"/>
        </w:rPr>
        <w:t>Worldwide Tickets Limited v. North Yorkshire County Council</w:t>
      </w:r>
      <w:r>
        <w:rPr>
          <w:rFonts w:ascii="Courier New" w:hAnsi="Courier New" w:cs="Courier New"/>
          <w:sz w:val="24"/>
          <w:szCs w:val="24"/>
        </w:rPr>
        <w:t>, 10</w:t>
      </w:r>
      <w:r w:rsidRPr="0092247C">
        <w:rPr>
          <w:rFonts w:ascii="Courier New" w:hAnsi="Courier New" w:cs="Courier New"/>
          <w:sz w:val="24"/>
          <w:szCs w:val="24"/>
          <w:vertAlign w:val="superscript"/>
        </w:rPr>
        <w:t>th</w:t>
      </w:r>
      <w:r>
        <w:rPr>
          <w:rFonts w:ascii="Courier New" w:hAnsi="Courier New" w:cs="Courier New"/>
          <w:sz w:val="24"/>
          <w:szCs w:val="24"/>
        </w:rPr>
        <w:t xml:space="preserve"> April 2019).</w:t>
      </w:r>
    </w:p>
    <w:p w:rsidR="0092247C" w:rsidRDefault="0092247C" w:rsidP="00EA0D7F">
      <w:pPr>
        <w:spacing w:after="0" w:line="480" w:lineRule="auto"/>
        <w:jc w:val="both"/>
        <w:rPr>
          <w:rFonts w:ascii="Courier New" w:hAnsi="Courier New" w:cs="Courier New"/>
          <w:sz w:val="24"/>
          <w:szCs w:val="24"/>
        </w:rPr>
      </w:pPr>
    </w:p>
    <w:p w:rsidR="0092247C" w:rsidRDefault="00637623" w:rsidP="00EA0D7F">
      <w:pPr>
        <w:spacing w:after="0" w:line="480" w:lineRule="auto"/>
        <w:jc w:val="both"/>
        <w:rPr>
          <w:rFonts w:ascii="Courier New" w:hAnsi="Courier New" w:cs="Courier New"/>
          <w:sz w:val="24"/>
          <w:szCs w:val="24"/>
        </w:rPr>
      </w:pPr>
      <w:r>
        <w:rPr>
          <w:rFonts w:ascii="Courier New" w:hAnsi="Courier New" w:cs="Courier New"/>
          <w:sz w:val="24"/>
          <w:szCs w:val="24"/>
        </w:rPr>
        <w:t>UNFAIR TERMS</w:t>
      </w:r>
    </w:p>
    <w:p w:rsidR="00637623" w:rsidRPr="00637623" w:rsidRDefault="00637623" w:rsidP="00EA0D7F">
      <w:pPr>
        <w:spacing w:after="0" w:line="480" w:lineRule="auto"/>
        <w:jc w:val="both"/>
        <w:rPr>
          <w:rFonts w:ascii="Courier New" w:hAnsi="Courier New" w:cs="Courier New"/>
          <w:sz w:val="24"/>
          <w:szCs w:val="24"/>
        </w:rPr>
      </w:pPr>
      <w:r>
        <w:rPr>
          <w:rFonts w:ascii="Courier New" w:hAnsi="Courier New" w:cs="Courier New"/>
          <w:sz w:val="24"/>
          <w:szCs w:val="24"/>
          <w:u w:val="single"/>
        </w:rPr>
        <w:t>Care Homes</w:t>
      </w:r>
      <w:r>
        <w:rPr>
          <w:rFonts w:ascii="Courier New" w:hAnsi="Courier New" w:cs="Courier New"/>
          <w:sz w:val="24"/>
          <w:szCs w:val="24"/>
        </w:rPr>
        <w:t>.  The Competition and Markets Authority have issued guidance in respect of care homes in connection with contract terms and in respect of fees and extra charges.</w:t>
      </w:r>
    </w:p>
    <w:p w:rsidR="00EA0D7F" w:rsidRDefault="00EA0D7F" w:rsidP="00EA0D7F">
      <w:pPr>
        <w:spacing w:before="240" w:after="0" w:line="480" w:lineRule="auto"/>
        <w:jc w:val="both"/>
        <w:rPr>
          <w:rFonts w:ascii="Courier New" w:hAnsi="Courier New" w:cs="Courier New"/>
          <w:sz w:val="24"/>
          <w:szCs w:val="24"/>
        </w:rPr>
      </w:pPr>
    </w:p>
    <w:p w:rsidR="00EA0D7F" w:rsidRDefault="00EA0D7F" w:rsidP="00EA0D7F">
      <w:pPr>
        <w:spacing w:before="240" w:after="0" w:line="480" w:lineRule="auto"/>
        <w:jc w:val="both"/>
        <w:rPr>
          <w:rFonts w:ascii="Courier New" w:hAnsi="Courier New" w:cs="Courier New"/>
          <w:sz w:val="24"/>
          <w:szCs w:val="24"/>
        </w:rPr>
      </w:pPr>
    </w:p>
    <w:p w:rsidR="00EA0D7F" w:rsidRDefault="00EA0D7F" w:rsidP="00EA0D7F">
      <w:pPr>
        <w:spacing w:before="240" w:after="0" w:line="480" w:lineRule="auto"/>
        <w:jc w:val="both"/>
        <w:rPr>
          <w:rFonts w:ascii="Courier New" w:hAnsi="Courier New" w:cs="Courier New"/>
          <w:sz w:val="24"/>
          <w:szCs w:val="24"/>
        </w:rPr>
      </w:pPr>
    </w:p>
    <w:p w:rsidR="00EA0D7F" w:rsidRDefault="00EA0D7F" w:rsidP="00EA0D7F">
      <w:pPr>
        <w:spacing w:before="240" w:after="0" w:line="480" w:lineRule="auto"/>
        <w:jc w:val="both"/>
        <w:rPr>
          <w:rFonts w:ascii="Courier New" w:hAnsi="Courier New" w:cs="Courier New"/>
          <w:sz w:val="24"/>
          <w:szCs w:val="24"/>
        </w:rPr>
      </w:pPr>
    </w:p>
    <w:p w:rsidR="00EA0D7F" w:rsidRPr="00EA0D7F" w:rsidRDefault="00EA0D7F" w:rsidP="00EA0D7F">
      <w:pPr>
        <w:spacing w:before="240" w:after="0" w:line="480" w:lineRule="auto"/>
        <w:jc w:val="both"/>
        <w:rPr>
          <w:rFonts w:ascii="Courier New" w:hAnsi="Courier New" w:cs="Courier New"/>
          <w:sz w:val="24"/>
          <w:szCs w:val="24"/>
        </w:rPr>
      </w:pPr>
    </w:p>
    <w:p w:rsidR="00D46032" w:rsidRPr="00254338" w:rsidRDefault="00D46032" w:rsidP="00D46032">
      <w:pPr>
        <w:spacing w:after="0" w:line="480" w:lineRule="auto"/>
        <w:jc w:val="both"/>
        <w:rPr>
          <w:rFonts w:ascii="Courier New" w:hAnsi="Courier New" w:cs="Courier New"/>
          <w:sz w:val="24"/>
          <w:szCs w:val="24"/>
        </w:rPr>
      </w:pPr>
    </w:p>
    <w:p w:rsidR="00D46032" w:rsidRPr="008742A0" w:rsidRDefault="00D46032" w:rsidP="005E302D">
      <w:pPr>
        <w:spacing w:after="0" w:line="480" w:lineRule="auto"/>
        <w:jc w:val="both"/>
        <w:rPr>
          <w:rFonts w:ascii="Courier New" w:hAnsi="Courier New" w:cs="Courier New"/>
          <w:sz w:val="24"/>
          <w:szCs w:val="24"/>
        </w:rPr>
      </w:pPr>
    </w:p>
    <w:sectPr w:rsidR="00D46032" w:rsidRPr="008742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0F" w:rsidRDefault="0017300F" w:rsidP="005E302D">
      <w:pPr>
        <w:spacing w:after="0" w:line="240" w:lineRule="auto"/>
      </w:pPr>
      <w:r>
        <w:separator/>
      </w:r>
    </w:p>
  </w:endnote>
  <w:endnote w:type="continuationSeparator" w:id="0">
    <w:p w:rsidR="0017300F" w:rsidRDefault="0017300F" w:rsidP="005E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982781"/>
      <w:docPartObj>
        <w:docPartGallery w:val="Page Numbers (Bottom of Page)"/>
        <w:docPartUnique/>
      </w:docPartObj>
    </w:sdtPr>
    <w:sdtEndPr>
      <w:rPr>
        <w:noProof/>
      </w:rPr>
    </w:sdtEndPr>
    <w:sdtContent>
      <w:p w:rsidR="005E302D" w:rsidRDefault="005E302D">
        <w:pPr>
          <w:pStyle w:val="Footer"/>
          <w:jc w:val="center"/>
        </w:pPr>
        <w:r>
          <w:fldChar w:fldCharType="begin"/>
        </w:r>
        <w:r>
          <w:instrText xml:space="preserve"> PAGE   \* MERGEFORMAT </w:instrText>
        </w:r>
        <w:r>
          <w:fldChar w:fldCharType="separate"/>
        </w:r>
        <w:r w:rsidR="00C77750">
          <w:rPr>
            <w:noProof/>
          </w:rPr>
          <w:t>1</w:t>
        </w:r>
        <w:r>
          <w:rPr>
            <w:noProof/>
          </w:rPr>
          <w:fldChar w:fldCharType="end"/>
        </w:r>
      </w:p>
    </w:sdtContent>
  </w:sdt>
  <w:p w:rsidR="005E302D" w:rsidRDefault="005E3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0F" w:rsidRDefault="0017300F" w:rsidP="005E302D">
      <w:pPr>
        <w:spacing w:after="0" w:line="240" w:lineRule="auto"/>
      </w:pPr>
      <w:r>
        <w:separator/>
      </w:r>
    </w:p>
  </w:footnote>
  <w:footnote w:type="continuationSeparator" w:id="0">
    <w:p w:rsidR="0017300F" w:rsidRDefault="0017300F" w:rsidP="005E3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2D"/>
    <w:rsid w:val="00126B38"/>
    <w:rsid w:val="0017300F"/>
    <w:rsid w:val="003C0080"/>
    <w:rsid w:val="003E29CF"/>
    <w:rsid w:val="00426C60"/>
    <w:rsid w:val="00506F8C"/>
    <w:rsid w:val="005425CE"/>
    <w:rsid w:val="0058191A"/>
    <w:rsid w:val="005A59FD"/>
    <w:rsid w:val="005E302D"/>
    <w:rsid w:val="00637623"/>
    <w:rsid w:val="006E4927"/>
    <w:rsid w:val="008742A0"/>
    <w:rsid w:val="008E6B08"/>
    <w:rsid w:val="00914BBE"/>
    <w:rsid w:val="0092247C"/>
    <w:rsid w:val="009E311C"/>
    <w:rsid w:val="00A67EDC"/>
    <w:rsid w:val="00BA5CFA"/>
    <w:rsid w:val="00C22F45"/>
    <w:rsid w:val="00C77750"/>
    <w:rsid w:val="00D00280"/>
    <w:rsid w:val="00D46032"/>
    <w:rsid w:val="00E72C38"/>
    <w:rsid w:val="00EA0D7F"/>
    <w:rsid w:val="00F537CC"/>
    <w:rsid w:val="00F627A3"/>
    <w:rsid w:val="00F9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02D"/>
  </w:style>
  <w:style w:type="paragraph" w:styleId="Footer">
    <w:name w:val="footer"/>
    <w:basedOn w:val="Normal"/>
    <w:link w:val="FooterChar"/>
    <w:uiPriority w:val="99"/>
    <w:unhideWhenUsed/>
    <w:rsid w:val="005E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02D"/>
  </w:style>
  <w:style w:type="paragraph" w:styleId="Footer">
    <w:name w:val="footer"/>
    <w:basedOn w:val="Normal"/>
    <w:link w:val="FooterChar"/>
    <w:uiPriority w:val="99"/>
    <w:unhideWhenUsed/>
    <w:rsid w:val="005E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Build-a-Bear Workshop, Inc.</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2019-07-12T10:04:00Z</dcterms:created>
  <dcterms:modified xsi:type="dcterms:W3CDTF">2019-07-12T10:04:00Z</dcterms:modified>
</cp:coreProperties>
</file>